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43774">
      <w:pPr>
        <w:pStyle w:val="4"/>
        <w:spacing w:line="700" w:lineRule="exact"/>
        <w:jc w:val="center"/>
        <w:rPr>
          <w:rFonts w:hint="default" w:ascii="Times New Roman" w:hAnsi="Times New Roman" w:eastAsia="方正小标宋简体" w:cs="Times New Roman"/>
          <w:b/>
          <w:bCs/>
          <w:sz w:val="44"/>
          <w:szCs w:val="44"/>
        </w:rPr>
      </w:pPr>
      <w:bookmarkStart w:id="0" w:name="_GoBack"/>
      <w:bookmarkEnd w:id="0"/>
    </w:p>
    <w:p w14:paraId="40B2603A">
      <w:pPr>
        <w:pStyle w:val="4"/>
        <w:keepNext w:val="0"/>
        <w:keepLines w:val="0"/>
        <w:pageBreakBefore w:val="0"/>
        <w:widowControl w:val="0"/>
        <w:kinsoku/>
        <w:wordWrap/>
        <w:overflowPunct/>
        <w:topLinePunct w:val="0"/>
        <w:autoSpaceDE w:val="0"/>
        <w:autoSpaceDN w:val="0"/>
        <w:bidi w:val="0"/>
        <w:adjustRightInd/>
        <w:snapToGrid/>
        <w:spacing w:line="800" w:lineRule="exact"/>
        <w:jc w:val="center"/>
        <w:textAlignment w:val="auto"/>
        <w:rPr>
          <w:rFonts w:hint="default" w:ascii="Times New Roman" w:hAnsi="Times New Roman" w:eastAsia="方正小标宋简体" w:cs="Times New Roman"/>
          <w:b/>
          <w:bCs/>
          <w:sz w:val="44"/>
          <w:szCs w:val="44"/>
        </w:rPr>
      </w:pPr>
    </w:p>
    <w:p w14:paraId="01BA7254">
      <w:pPr>
        <w:pStyle w:val="4"/>
        <w:keepNext w:val="0"/>
        <w:keepLines w:val="0"/>
        <w:pageBreakBefore w:val="0"/>
        <w:widowControl w:val="0"/>
        <w:kinsoku/>
        <w:wordWrap/>
        <w:overflowPunct/>
        <w:topLinePunct w:val="0"/>
        <w:autoSpaceDE w:val="0"/>
        <w:autoSpaceDN w:val="0"/>
        <w:bidi w:val="0"/>
        <w:adjustRightInd/>
        <w:snapToGrid/>
        <w:spacing w:line="800" w:lineRule="exact"/>
        <w:jc w:val="center"/>
        <w:textAlignment w:val="auto"/>
        <w:rPr>
          <w:rFonts w:hint="default" w:ascii="Times New Roman" w:hAnsi="Times New Roman" w:eastAsia="方正小标宋简体" w:cs="Times New Roman"/>
          <w:b/>
          <w:bCs/>
          <w:sz w:val="48"/>
          <w:szCs w:val="48"/>
        </w:rPr>
      </w:pPr>
      <w:r>
        <w:rPr>
          <w:rFonts w:hint="default" w:ascii="Times New Roman" w:hAnsi="Times New Roman" w:eastAsia="方正小标宋简体" w:cs="Times New Roman"/>
          <w:b/>
          <w:bCs/>
          <w:sz w:val="48"/>
          <w:szCs w:val="48"/>
        </w:rPr>
        <w:t>山东公用控股有限公司</w:t>
      </w:r>
    </w:p>
    <w:p w14:paraId="7BD2A7CD">
      <w:pPr>
        <w:pStyle w:val="4"/>
        <w:keepNext w:val="0"/>
        <w:keepLines w:val="0"/>
        <w:pageBreakBefore w:val="0"/>
        <w:widowControl w:val="0"/>
        <w:kinsoku/>
        <w:wordWrap/>
        <w:overflowPunct/>
        <w:topLinePunct w:val="0"/>
        <w:autoSpaceDE w:val="0"/>
        <w:autoSpaceDN w:val="0"/>
        <w:bidi w:val="0"/>
        <w:adjustRightInd/>
        <w:snapToGrid/>
        <w:spacing w:line="800" w:lineRule="exact"/>
        <w:jc w:val="center"/>
        <w:textAlignment w:val="auto"/>
        <w:rPr>
          <w:rFonts w:hint="eastAsia" w:ascii="Times New Roman" w:hAnsi="Times New Roman" w:eastAsia="方正小标宋简体" w:cs="Times New Roman"/>
          <w:b/>
          <w:bCs/>
          <w:sz w:val="48"/>
          <w:szCs w:val="48"/>
          <w:lang w:val="en-US" w:eastAsia="zh-CN"/>
        </w:rPr>
      </w:pPr>
      <w:r>
        <w:rPr>
          <w:rFonts w:hint="default" w:ascii="Times New Roman" w:hAnsi="Times New Roman" w:eastAsia="方正小标宋简体" w:cs="Times New Roman"/>
          <w:b/>
          <w:bCs/>
          <w:sz w:val="48"/>
          <w:szCs w:val="48"/>
          <w:lang w:val="en-US" w:eastAsia="zh-CN"/>
        </w:rPr>
        <w:t>202</w:t>
      </w:r>
      <w:r>
        <w:rPr>
          <w:rFonts w:hint="eastAsia" w:ascii="Times New Roman" w:hAnsi="Times New Roman" w:eastAsia="方正小标宋简体" w:cs="Times New Roman"/>
          <w:b/>
          <w:bCs/>
          <w:sz w:val="48"/>
          <w:szCs w:val="48"/>
          <w:lang w:val="en-US" w:eastAsia="zh-CN"/>
        </w:rPr>
        <w:t>4</w:t>
      </w:r>
      <w:r>
        <w:rPr>
          <w:rFonts w:hint="default" w:ascii="Times New Roman" w:hAnsi="Times New Roman" w:eastAsia="方正小标宋简体" w:cs="Times New Roman"/>
          <w:b/>
          <w:bCs/>
          <w:sz w:val="48"/>
          <w:szCs w:val="48"/>
          <w:lang w:val="en-US" w:eastAsia="zh-CN"/>
        </w:rPr>
        <w:t>年度</w:t>
      </w:r>
      <w:r>
        <w:rPr>
          <w:rFonts w:hint="default" w:ascii="Times New Roman" w:hAnsi="Times New Roman" w:eastAsia="方正小标宋简体" w:cs="Times New Roman"/>
          <w:b/>
          <w:bCs/>
          <w:sz w:val="48"/>
          <w:szCs w:val="48"/>
          <w:lang w:val="en-US"/>
        </w:rPr>
        <w:t>财务等重大信息公</w:t>
      </w:r>
      <w:r>
        <w:rPr>
          <w:rFonts w:hint="eastAsia" w:ascii="Times New Roman" w:hAnsi="Times New Roman" w:eastAsia="方正小标宋简体" w:cs="Times New Roman"/>
          <w:b/>
          <w:bCs/>
          <w:sz w:val="48"/>
          <w:szCs w:val="48"/>
          <w:lang w:val="en-US" w:eastAsia="zh-CN"/>
        </w:rPr>
        <w:t>开</w:t>
      </w:r>
    </w:p>
    <w:p w14:paraId="77277876">
      <w:pPr>
        <w:pStyle w:val="4"/>
        <w:spacing w:line="600" w:lineRule="exact"/>
        <w:ind w:firstLine="640" w:firstLineChars="200"/>
        <w:jc w:val="both"/>
        <w:rPr>
          <w:rFonts w:ascii="方正黑体简体" w:hAnsi="方正黑体简体" w:eastAsia="方正黑体简体" w:cs="方正黑体简体"/>
          <w:lang w:val="en-US"/>
        </w:rPr>
      </w:pPr>
    </w:p>
    <w:p w14:paraId="03BF3B9C">
      <w:pPr>
        <w:pStyle w:val="4"/>
        <w:spacing w:line="600" w:lineRule="exact"/>
        <w:ind w:firstLine="640" w:firstLineChars="200"/>
        <w:jc w:val="both"/>
        <w:rPr>
          <w:rFonts w:ascii="方正黑体简体" w:hAnsi="方正黑体简体" w:eastAsia="方正黑体简体" w:cs="方正黑体简体"/>
          <w:lang w:val="en-US"/>
        </w:rPr>
      </w:pPr>
    </w:p>
    <w:p w14:paraId="7B572FAE">
      <w:pPr>
        <w:pStyle w:val="3"/>
        <w:spacing w:before="1" w:line="254" w:lineRule="auto"/>
        <w:ind w:left="400" w:right="459" w:firstLine="600"/>
        <w:rPr>
          <w:rFonts w:hint="eastAsia" w:ascii="方正仿宋简体" w:hAnsi="方正仿宋简体" w:eastAsia="方正仿宋简体" w:cs="方正仿宋简体"/>
        </w:rPr>
      </w:pPr>
    </w:p>
    <w:p w14:paraId="5F0CDCD0">
      <w:pPr>
        <w:pStyle w:val="3"/>
        <w:keepNext w:val="0"/>
        <w:keepLines w:val="0"/>
        <w:pageBreakBefore w:val="0"/>
        <w:widowControl w:val="0"/>
        <w:kinsoku/>
        <w:wordWrap/>
        <w:overflowPunct/>
        <w:topLinePunct w:val="0"/>
        <w:autoSpaceDE w:val="0"/>
        <w:autoSpaceDN w:val="0"/>
        <w:bidi w:val="0"/>
        <w:adjustRightInd/>
        <w:snapToGrid/>
        <w:spacing w:line="700" w:lineRule="exact"/>
        <w:ind w:left="403" w:right="459" w:firstLine="601"/>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本公司保证本公告内容不存在任何虚假</w:t>
      </w:r>
      <w:r>
        <w:rPr>
          <w:rFonts w:hint="eastAsia" w:ascii="方正仿宋简体" w:hAnsi="方正仿宋简体" w:eastAsia="方正仿宋简体" w:cs="方正仿宋简体"/>
          <w:spacing w:val="-12"/>
          <w:sz w:val="32"/>
          <w:szCs w:val="32"/>
        </w:rPr>
        <w:t>记载</w:t>
      </w:r>
      <w:r>
        <w:rPr>
          <w:rFonts w:hint="eastAsia" w:ascii="方正仿宋简体" w:hAnsi="方正仿宋简体" w:eastAsia="方正仿宋简体" w:cs="方正仿宋简体"/>
          <w:spacing w:val="-12"/>
          <w:sz w:val="32"/>
          <w:szCs w:val="32"/>
          <w:lang w:eastAsia="zh-CN"/>
        </w:rPr>
        <w:t>、</w:t>
      </w:r>
      <w:r>
        <w:rPr>
          <w:rFonts w:hint="eastAsia" w:ascii="方正仿宋简体" w:hAnsi="方正仿宋简体" w:eastAsia="方正仿宋简体" w:cs="方正仿宋简体"/>
          <w:spacing w:val="-12"/>
          <w:sz w:val="32"/>
          <w:szCs w:val="32"/>
        </w:rPr>
        <w:t>误导性陈述或者重大遗漏</w:t>
      </w:r>
      <w:r>
        <w:rPr>
          <w:rFonts w:hint="eastAsia" w:ascii="方正仿宋简体" w:hAnsi="方正仿宋简体" w:eastAsia="方正仿宋简体" w:cs="方正仿宋简体"/>
          <w:spacing w:val="-12"/>
          <w:sz w:val="32"/>
          <w:szCs w:val="32"/>
          <w:lang w:eastAsia="zh-CN"/>
        </w:rPr>
        <w:t>，</w:t>
      </w:r>
      <w:r>
        <w:rPr>
          <w:rFonts w:hint="eastAsia" w:ascii="方正仿宋简体" w:hAnsi="方正仿宋简体" w:eastAsia="方正仿宋简体" w:cs="方正仿宋简体"/>
          <w:spacing w:val="-12"/>
          <w:sz w:val="32"/>
          <w:szCs w:val="32"/>
        </w:rPr>
        <w:t>并对其内容的真实性</w:t>
      </w:r>
      <w:r>
        <w:rPr>
          <w:rFonts w:hint="eastAsia" w:ascii="方正仿宋简体" w:hAnsi="方正仿宋简体" w:eastAsia="方正仿宋简体" w:cs="方正仿宋简体"/>
          <w:spacing w:val="-12"/>
          <w:sz w:val="32"/>
          <w:szCs w:val="32"/>
          <w:lang w:eastAsia="zh-CN"/>
        </w:rPr>
        <w:t>、</w:t>
      </w:r>
      <w:r>
        <w:rPr>
          <w:rFonts w:hint="eastAsia" w:ascii="方正仿宋简体" w:hAnsi="方正仿宋简体" w:eastAsia="方正仿宋简体" w:cs="方正仿宋简体"/>
          <w:spacing w:val="-12"/>
          <w:sz w:val="32"/>
          <w:szCs w:val="32"/>
        </w:rPr>
        <w:t>准确性</w:t>
      </w:r>
      <w:r>
        <w:rPr>
          <w:rFonts w:hint="eastAsia" w:ascii="方正仿宋简体" w:hAnsi="方正仿宋简体" w:eastAsia="方正仿宋简体" w:cs="方正仿宋简体"/>
          <w:sz w:val="32"/>
          <w:szCs w:val="32"/>
        </w:rPr>
        <w:t>和完整性承担个别及连带责任</w:t>
      </w:r>
      <w:r>
        <w:rPr>
          <w:rFonts w:hint="eastAsia" w:ascii="方正仿宋简体" w:hAnsi="方正仿宋简体" w:eastAsia="方正仿宋简体" w:cs="方正仿宋简体"/>
          <w:sz w:val="32"/>
          <w:szCs w:val="32"/>
          <w:lang w:eastAsia="zh-CN"/>
        </w:rPr>
        <w:t>。</w:t>
      </w:r>
    </w:p>
    <w:p w14:paraId="73B58ABD">
      <w:pPr>
        <w:pStyle w:val="4"/>
        <w:spacing w:line="600" w:lineRule="exact"/>
        <w:ind w:firstLine="640" w:firstLineChars="200"/>
        <w:jc w:val="both"/>
        <w:rPr>
          <w:rFonts w:ascii="方正黑体简体" w:hAnsi="方正黑体简体" w:eastAsia="方正黑体简体" w:cs="方正黑体简体"/>
          <w:lang w:val="en-US"/>
        </w:rPr>
      </w:pPr>
    </w:p>
    <w:p w14:paraId="6BA47B93">
      <w:pPr>
        <w:pStyle w:val="4"/>
        <w:spacing w:line="600" w:lineRule="exact"/>
        <w:ind w:firstLine="640" w:firstLineChars="200"/>
        <w:jc w:val="both"/>
        <w:rPr>
          <w:rFonts w:ascii="方正黑体简体" w:hAnsi="方正黑体简体" w:eastAsia="方正黑体简体" w:cs="方正黑体简体"/>
          <w:lang w:val="en-US"/>
        </w:rPr>
      </w:pPr>
    </w:p>
    <w:p w14:paraId="70E80D36">
      <w:pPr>
        <w:pStyle w:val="4"/>
        <w:spacing w:line="600" w:lineRule="exact"/>
        <w:ind w:firstLine="640" w:firstLineChars="200"/>
        <w:jc w:val="both"/>
        <w:rPr>
          <w:rFonts w:ascii="方正黑体简体" w:hAnsi="方正黑体简体" w:eastAsia="方正黑体简体" w:cs="方正黑体简体"/>
          <w:lang w:val="en-US"/>
        </w:rPr>
      </w:pPr>
    </w:p>
    <w:p w14:paraId="73A635E2">
      <w:pPr>
        <w:pStyle w:val="4"/>
        <w:spacing w:line="600" w:lineRule="exact"/>
        <w:ind w:firstLine="640" w:firstLineChars="200"/>
        <w:jc w:val="both"/>
        <w:rPr>
          <w:rFonts w:ascii="方正黑体简体" w:hAnsi="方正黑体简体" w:eastAsia="方正黑体简体" w:cs="方正黑体简体"/>
          <w:lang w:val="en-US"/>
        </w:rPr>
      </w:pPr>
    </w:p>
    <w:p w14:paraId="18900E85">
      <w:pPr>
        <w:pStyle w:val="4"/>
        <w:spacing w:line="600" w:lineRule="exact"/>
        <w:ind w:firstLine="640" w:firstLineChars="200"/>
        <w:jc w:val="both"/>
        <w:rPr>
          <w:rFonts w:ascii="方正黑体简体" w:hAnsi="方正黑体简体" w:eastAsia="方正黑体简体" w:cs="方正黑体简体"/>
          <w:lang w:val="en-US"/>
        </w:rPr>
      </w:pPr>
    </w:p>
    <w:p w14:paraId="2D8819B7">
      <w:pPr>
        <w:pStyle w:val="4"/>
        <w:spacing w:line="600" w:lineRule="exact"/>
        <w:ind w:firstLine="640" w:firstLineChars="200"/>
        <w:jc w:val="both"/>
        <w:rPr>
          <w:rFonts w:ascii="方正黑体简体" w:hAnsi="方正黑体简体" w:eastAsia="方正黑体简体" w:cs="方正黑体简体"/>
          <w:lang w:val="en-US"/>
        </w:rPr>
      </w:pPr>
    </w:p>
    <w:p w14:paraId="588CFABA">
      <w:pPr>
        <w:pStyle w:val="4"/>
        <w:spacing w:line="600" w:lineRule="exact"/>
        <w:ind w:firstLine="640" w:firstLineChars="200"/>
        <w:jc w:val="both"/>
        <w:rPr>
          <w:rFonts w:ascii="方正黑体简体" w:hAnsi="方正黑体简体" w:eastAsia="方正黑体简体" w:cs="方正黑体简体"/>
          <w:lang w:val="en-US"/>
        </w:rPr>
      </w:pPr>
    </w:p>
    <w:p w14:paraId="276F15A4">
      <w:pPr>
        <w:pStyle w:val="4"/>
        <w:spacing w:line="600" w:lineRule="exact"/>
        <w:ind w:firstLine="640" w:firstLineChars="200"/>
        <w:jc w:val="both"/>
        <w:rPr>
          <w:rFonts w:hint="default" w:ascii="方正黑体简体" w:hAnsi="方正黑体简体" w:eastAsia="方正黑体简体" w:cs="方正黑体简体"/>
          <w:lang w:val="en-US" w:eastAsia="zh-CN"/>
        </w:rPr>
      </w:pPr>
      <w:r>
        <w:rPr>
          <w:rFonts w:hint="eastAsia" w:ascii="方正黑体简体" w:hAnsi="方正黑体简体" w:eastAsia="方正黑体简体" w:cs="方正黑体简体"/>
          <w:lang w:val="en-US" w:eastAsia="zh-CN"/>
        </w:rPr>
        <w:t xml:space="preserve">        </w:t>
      </w:r>
    </w:p>
    <w:p w14:paraId="5E0C4352">
      <w:pPr>
        <w:pStyle w:val="4"/>
        <w:spacing w:line="600" w:lineRule="exact"/>
        <w:jc w:val="center"/>
        <w:rPr>
          <w:rFonts w:hint="default" w:ascii="Times New Roman" w:hAnsi="Times New Roman" w:eastAsia="方正楷体简体" w:cs="Times New Roman"/>
          <w:b/>
          <w:bCs/>
          <w:sz w:val="32"/>
          <w:szCs w:val="32"/>
          <w:lang w:val="en-US" w:eastAsia="zh-CN"/>
        </w:rPr>
      </w:pPr>
      <w:r>
        <w:rPr>
          <w:rFonts w:hint="default" w:ascii="Times New Roman" w:hAnsi="Times New Roman" w:eastAsia="方正楷体简体" w:cs="Times New Roman"/>
          <w:b/>
          <w:bCs/>
          <w:sz w:val="32"/>
          <w:szCs w:val="32"/>
          <w:lang w:val="en-US" w:eastAsia="zh-CN"/>
        </w:rPr>
        <w:t>202</w:t>
      </w:r>
      <w:r>
        <w:rPr>
          <w:rFonts w:hint="eastAsia" w:ascii="Times New Roman" w:hAnsi="Times New Roman" w:eastAsia="方正楷体简体" w:cs="Times New Roman"/>
          <w:b/>
          <w:bCs/>
          <w:sz w:val="32"/>
          <w:szCs w:val="32"/>
          <w:lang w:val="en-US" w:eastAsia="zh-CN"/>
        </w:rPr>
        <w:t>5</w:t>
      </w:r>
      <w:r>
        <w:rPr>
          <w:rFonts w:hint="default" w:ascii="Times New Roman" w:hAnsi="Times New Roman" w:eastAsia="方正楷体简体" w:cs="Times New Roman"/>
          <w:b/>
          <w:bCs/>
          <w:sz w:val="32"/>
          <w:szCs w:val="32"/>
          <w:lang w:val="en-US" w:eastAsia="zh-CN"/>
        </w:rPr>
        <w:t>年6月30日</w:t>
      </w:r>
    </w:p>
    <w:p w14:paraId="6E95ECF8">
      <w:pPr>
        <w:pStyle w:val="4"/>
        <w:spacing w:line="600" w:lineRule="exact"/>
        <w:ind w:firstLine="640" w:firstLineChars="200"/>
        <w:jc w:val="both"/>
        <w:rPr>
          <w:rFonts w:ascii="方正黑体简体" w:hAnsi="方正黑体简体" w:eastAsia="方正黑体简体" w:cs="方正黑体简体"/>
          <w:lang w:val="en-US"/>
        </w:rPr>
      </w:pPr>
    </w:p>
    <w:p w14:paraId="3B4A3743">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4F5BFF31">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424BBAB2">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1.名    称：山东公用控股有限公司</w:t>
      </w:r>
    </w:p>
    <w:p w14:paraId="0F9A16EC">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2.企业类型：有限责任公司（国有独资）</w:t>
      </w:r>
    </w:p>
    <w:p w14:paraId="7123C7B0">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3.成立日期：1993-06-27</w:t>
      </w:r>
    </w:p>
    <w:p w14:paraId="10E447D5">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4.法定代表人：李鲁</w:t>
      </w:r>
    </w:p>
    <w:p w14:paraId="797AB4DC">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5.注册地址：济宁市红星中路23号</w:t>
      </w:r>
    </w:p>
    <w:p w14:paraId="30289239">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6.经营范围</w:t>
      </w:r>
    </w:p>
    <w:p w14:paraId="0273626B">
      <w:pPr>
        <w:pStyle w:val="4"/>
        <w:spacing w:line="580" w:lineRule="exact"/>
        <w:ind w:firstLine="643" w:firstLineChars="200"/>
        <w:jc w:val="both"/>
        <w:rPr>
          <w:rFonts w:hint="eastAsia" w:ascii="方正仿宋简体" w:hAnsi="方正仿宋简体" w:eastAsia="方正仿宋简体" w:cs="方正仿宋简体"/>
          <w:b/>
          <w:bCs/>
          <w:lang w:val="en-US"/>
        </w:rPr>
      </w:pPr>
      <w:r>
        <w:rPr>
          <w:rFonts w:ascii="Times New Roman" w:hAnsi="Times New Roman" w:eastAsia="方正仿宋简体" w:cs="Times New Roman"/>
          <w:b/>
          <w:bCs/>
          <w:lang w:val="en-US"/>
        </w:rPr>
        <w:t>许可项目：自来水生产与供应；污水处理及其再生利用；热力生产和供应；建设工程施工；建设工程设计；水利工程建设监理；证券投资咨询；房地产开发经营；发电业务、输电业务、供（配）电业务；饮料生产。（依法须经批准的项目，经相关部门批准后方可开展经营活动，具体经营</w:t>
      </w:r>
      <w:r>
        <w:rPr>
          <w:rFonts w:hint="eastAsia" w:ascii="方正仿宋简体" w:hAnsi="方正仿宋简体" w:eastAsia="方正仿宋简体" w:cs="方正仿宋简体"/>
          <w:b/>
          <w:bCs/>
          <w:lang w:val="en-US"/>
        </w:rPr>
        <w:t>项目以相关部门批准文件或许可证件为准）。</w:t>
      </w:r>
    </w:p>
    <w:p w14:paraId="4B0D9680">
      <w:pPr>
        <w:pStyle w:val="4"/>
        <w:spacing w:line="580" w:lineRule="exact"/>
        <w:ind w:firstLine="643" w:firstLineChars="200"/>
        <w:jc w:val="both"/>
        <w:rPr>
          <w:rFonts w:hint="eastAsia" w:ascii="方正仿宋简体" w:hAnsi="方正仿宋简体" w:eastAsia="方正仿宋简体" w:cs="方正仿宋简体"/>
          <w:b/>
          <w:bCs/>
          <w:lang w:val="en-US"/>
        </w:rPr>
      </w:pPr>
      <w:r>
        <w:rPr>
          <w:rFonts w:hint="eastAsia" w:ascii="方正仿宋简体" w:hAnsi="方正仿宋简体" w:eastAsia="方正仿宋简体" w:cs="方正仿宋简体"/>
          <w:b/>
          <w:bCs/>
          <w:lang w:val="en-US"/>
        </w:rPr>
        <w:t>一般项目：水污染治理；水资源管理；创业投资（限投资未上市企业）；企业管理咨询；市场营销策划；私募股权投资基金管理、创业投资基金管理服务（须在中国证券投资基金业协会完成登记备案后方可从事经营活动）；销售代理；市政设施管理；财务咨询；储能技术服务；新能源原动设备销售；非居住房地产租赁；会议及展览服务；发电机及发电机组销售；工程管理服务；商业综合体管理服务；技术服务、技术开发、技术咨询、技术交流、技术转让、技术推广；专用化学产品销售（不含危险化学品）；煤炭及制品销售；五金产品批发；有色金属合金销售；建筑材料销售；合成材料销售；砼结构构件销售；建筑装饰材料销售；生态环境材料销售。（除依法须经批准的项目外，凭营业执照依法自主开展经营活动）</w:t>
      </w:r>
    </w:p>
    <w:p w14:paraId="4C1BE0F9">
      <w:pPr>
        <w:pStyle w:val="4"/>
        <w:spacing w:line="580" w:lineRule="exact"/>
        <w:ind w:firstLine="643" w:firstLineChars="200"/>
        <w:jc w:val="both"/>
        <w:rPr>
          <w:rFonts w:hint="eastAsia"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14:paraId="589212DF">
      <w:pPr>
        <w:pStyle w:val="4"/>
        <w:spacing w:line="580" w:lineRule="exact"/>
        <w:ind w:firstLine="643" w:firstLineChars="200"/>
        <w:jc w:val="both"/>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山东公用控股有限公司是集城乡水务、热电联产、燃气供应、环保科技、建设工程、智能制造、医养健康于一体的城乡综合服务商。公司注册资本100亿元，下辖各级子公司140余户。截至202</w:t>
      </w:r>
      <w:r>
        <w:rPr>
          <w:rFonts w:hint="eastAsia" w:ascii="Times New Roman" w:hAnsi="Times New Roman" w:eastAsia="方正仿宋简体" w:cs="Times New Roman"/>
          <w:b/>
          <w:bCs/>
          <w:lang w:val="en-US" w:eastAsia="zh-CN"/>
        </w:rPr>
        <w:t>4</w:t>
      </w:r>
      <w:r>
        <w:rPr>
          <w:rFonts w:hint="default" w:ascii="Times New Roman" w:hAnsi="Times New Roman" w:eastAsia="方正仿宋简体" w:cs="Times New Roman"/>
          <w:b/>
          <w:bCs/>
          <w:lang w:val="en-US"/>
        </w:rPr>
        <w:t>年</w:t>
      </w:r>
      <w:r>
        <w:rPr>
          <w:rFonts w:hint="default" w:ascii="Times New Roman" w:hAnsi="Times New Roman" w:eastAsia="方正仿宋简体" w:cs="Times New Roman"/>
          <w:b/>
          <w:bCs/>
          <w:highlight w:val="none"/>
          <w:lang w:val="en-US"/>
        </w:rPr>
        <w:t>底，</w:t>
      </w:r>
      <w:r>
        <w:rPr>
          <w:rFonts w:ascii="Times New Roman" w:hAnsi="Times New Roman" w:eastAsia="方正仿宋简体" w:cs="Times New Roman"/>
          <w:b/>
          <w:bCs/>
          <w:highlight w:val="none"/>
          <w:lang w:val="en-US"/>
        </w:rPr>
        <w:t>公司资产总额达到</w:t>
      </w:r>
      <w:r>
        <w:rPr>
          <w:rFonts w:hint="eastAsia" w:ascii="Times New Roman" w:hAnsi="Times New Roman" w:eastAsia="方正仿宋简体" w:cs="Times New Roman"/>
          <w:b/>
          <w:bCs/>
          <w:highlight w:val="none"/>
          <w:lang w:val="en-US"/>
        </w:rPr>
        <w:t>770.26</w:t>
      </w:r>
      <w:r>
        <w:rPr>
          <w:rFonts w:ascii="Times New Roman" w:hAnsi="Times New Roman" w:eastAsia="方正仿宋简体" w:cs="Times New Roman"/>
          <w:b/>
          <w:bCs/>
          <w:highlight w:val="none"/>
          <w:lang w:val="en-US"/>
        </w:rPr>
        <w:t>亿元</w:t>
      </w:r>
      <w:r>
        <w:rPr>
          <w:rFonts w:hint="default" w:ascii="Times New Roman" w:hAnsi="Times New Roman" w:eastAsia="方正仿宋简体" w:cs="Times New Roman"/>
          <w:b/>
          <w:bCs/>
          <w:highlight w:val="none"/>
          <w:lang w:val="en-US"/>
        </w:rPr>
        <w:t>，日供水能力150万立方米，日污水治理能力180万立方米，供热面积7</w:t>
      </w:r>
      <w:r>
        <w:rPr>
          <w:rFonts w:hint="default" w:ascii="Times New Roman" w:hAnsi="Times New Roman" w:eastAsia="方正仿宋简体" w:cs="Times New Roman"/>
          <w:b/>
          <w:bCs/>
          <w:lang w:val="en-US"/>
        </w:rPr>
        <w:t>300余万平方米，天然气用户60余万户，服务人口超过1600万人，是济宁市首家获得“AAA”级主体信用等级的企业。先后荣获全国文明单位、全国五一劳动奖状、全国先进职工之家、山东省“攻坚克难奖”、山东省先进基层党组织等荣誉称号。</w:t>
      </w:r>
    </w:p>
    <w:p w14:paraId="5A6E2ADA">
      <w:pPr>
        <w:pStyle w:val="4"/>
        <w:spacing w:line="580" w:lineRule="exact"/>
        <w:ind w:firstLine="643" w:firstLineChars="200"/>
        <w:jc w:val="both"/>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近年来，山东公用把握深化国企改革的历史机遇，以“公用产业+基础设施+先进制造”为驱动，全力打造民生公用、活力公用、生态公用、智慧公用和品质公用“五个公用”，大力实施城市更新行动，建立了多元发展、多极支撑的现代产业体系。城乡供水、集中供热、生态治理等公用产业经营范围涉及到山东、新疆、陕西、甘肃、山西、河南等多个地区，还承建了包括济宁市主城区内环高架及连接线，崇德大道（济宁主城区至曲阜快速路），济邹、兖郓高速公路，共青团路北延高铁连接线，济宁市农村生活污水治理工程，济宁市引黄西线工程，长江、运河地表水厂等一批省、市重点基础设施建设项目。目前，山东公用的整体规模和综合实力已处于省内领先，进入全国第一方阵。</w:t>
      </w:r>
    </w:p>
    <w:p w14:paraId="38F3A24B">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0" w:leftChars="0" w:firstLine="643" w:firstLineChars="200"/>
        <w:jc w:val="both"/>
        <w:textAlignment w:val="auto"/>
        <w:rPr>
          <w:rFonts w:hint="eastAsia" w:ascii="方正黑体简体" w:hAnsi="方正黑体简体" w:eastAsia="方正黑体简体" w:cs="方正黑体简体"/>
          <w:b/>
          <w:bCs/>
          <w:highlight w:val="none"/>
          <w:lang w:val="en-US"/>
        </w:rPr>
      </w:pPr>
      <w:r>
        <w:rPr>
          <w:rFonts w:hint="eastAsia" w:ascii="方正黑体简体" w:hAnsi="方正黑体简体" w:eastAsia="方正黑体简体" w:cs="方正黑体简体"/>
          <w:b/>
          <w:bCs/>
          <w:highlight w:val="none"/>
          <w:lang w:val="en-US"/>
        </w:rPr>
        <w:t>主要会计数据和财务指标</w:t>
      </w:r>
    </w:p>
    <w:p w14:paraId="072D9CC7">
      <w:pPr>
        <w:pStyle w:val="4"/>
        <w:numPr>
          <w:ilvl w:val="0"/>
          <w:numId w:val="0"/>
        </w:numPr>
        <w:spacing w:line="600" w:lineRule="exact"/>
        <w:ind w:firstLine="6425" w:firstLineChars="2000"/>
        <w:jc w:val="both"/>
        <w:rPr>
          <w:rFonts w:hint="eastAsia" w:ascii="方正楷体简体" w:hAnsi="方正楷体简体" w:eastAsia="方正楷体简体" w:cs="方正楷体简体"/>
          <w:b/>
          <w:bCs/>
          <w:lang w:val="en-US" w:eastAsia="zh-CN"/>
        </w:rPr>
      </w:pPr>
      <w:r>
        <w:rPr>
          <w:rFonts w:hint="eastAsia" w:ascii="方正楷体简体" w:hAnsi="方正楷体简体" w:eastAsia="方正楷体简体" w:cs="方正楷体简体"/>
          <w:b/>
          <w:bCs/>
          <w:lang w:val="en-US" w:eastAsia="zh-CN"/>
        </w:rPr>
        <w:t>金额单位：亿元</w:t>
      </w:r>
    </w:p>
    <w:tbl>
      <w:tblPr>
        <w:tblStyle w:val="8"/>
        <w:tblW w:w="8698" w:type="dxa"/>
        <w:tblInd w:w="416" w:type="dxa"/>
        <w:tblLayout w:type="fixed"/>
        <w:tblCellMar>
          <w:top w:w="0" w:type="dxa"/>
          <w:left w:w="108" w:type="dxa"/>
          <w:bottom w:w="0" w:type="dxa"/>
          <w:right w:w="108" w:type="dxa"/>
        </w:tblCellMar>
      </w:tblPr>
      <w:tblGrid>
        <w:gridCol w:w="1575"/>
        <w:gridCol w:w="4138"/>
        <w:gridCol w:w="2985"/>
      </w:tblGrid>
      <w:tr w14:paraId="5C8BB3B6">
        <w:tblPrEx>
          <w:tblCellMar>
            <w:top w:w="0" w:type="dxa"/>
            <w:left w:w="108" w:type="dxa"/>
            <w:bottom w:w="0" w:type="dxa"/>
            <w:right w:w="108" w:type="dxa"/>
          </w:tblCellMar>
        </w:tblPrEx>
        <w:trPr>
          <w:trHeight w:val="822" w:hRule="exact"/>
        </w:trPr>
        <w:tc>
          <w:tcPr>
            <w:tcW w:w="15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26F3C6">
            <w:pPr>
              <w:widowControl/>
              <w:jc w:val="center"/>
              <w:rPr>
                <w:rFonts w:hint="eastAsia" w:ascii="方正黑体简体" w:hAnsi="方正黑体简体" w:eastAsia="方正黑体简体" w:cs="方正黑体简体"/>
                <w:b/>
                <w:bCs/>
                <w:color w:val="000000"/>
                <w:kern w:val="0"/>
                <w:sz w:val="32"/>
                <w:szCs w:val="32"/>
                <w:highlight w:val="none"/>
                <w:lang w:eastAsia="zh-CN"/>
              </w:rPr>
            </w:pPr>
            <w:r>
              <w:rPr>
                <w:rFonts w:hint="eastAsia" w:ascii="方正黑体简体" w:hAnsi="方正黑体简体" w:eastAsia="方正黑体简体" w:cs="方正黑体简体"/>
                <w:b/>
                <w:bCs/>
                <w:color w:val="000000"/>
                <w:kern w:val="0"/>
                <w:sz w:val="32"/>
                <w:szCs w:val="32"/>
                <w:highlight w:val="none"/>
                <w:lang w:eastAsia="zh-CN"/>
              </w:rPr>
              <w:t>序号</w:t>
            </w:r>
          </w:p>
        </w:tc>
        <w:tc>
          <w:tcPr>
            <w:tcW w:w="413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4E7660">
            <w:pPr>
              <w:widowControl/>
              <w:jc w:val="center"/>
              <w:rPr>
                <w:rFonts w:hint="eastAsia" w:ascii="方正黑体简体" w:hAnsi="方正黑体简体" w:eastAsia="方正黑体简体" w:cs="方正黑体简体"/>
                <w:b/>
                <w:bCs/>
                <w:color w:val="000000"/>
                <w:kern w:val="0"/>
                <w:sz w:val="32"/>
                <w:szCs w:val="32"/>
                <w:highlight w:val="none"/>
              </w:rPr>
            </w:pPr>
            <w:r>
              <w:rPr>
                <w:rFonts w:hint="eastAsia" w:ascii="方正黑体简体" w:hAnsi="方正黑体简体" w:eastAsia="方正黑体简体" w:cs="方正黑体简体"/>
                <w:b/>
                <w:bCs/>
                <w:color w:val="000000"/>
                <w:kern w:val="0"/>
                <w:sz w:val="32"/>
                <w:szCs w:val="32"/>
                <w:highlight w:val="none"/>
              </w:rPr>
              <w:t>项</w:t>
            </w:r>
            <w:r>
              <w:rPr>
                <w:rFonts w:hint="eastAsia" w:ascii="方正黑体简体" w:hAnsi="方正黑体简体" w:eastAsia="方正黑体简体" w:cs="方正黑体简体"/>
                <w:b/>
                <w:bCs/>
                <w:color w:val="000000"/>
                <w:kern w:val="0"/>
                <w:sz w:val="32"/>
                <w:szCs w:val="32"/>
                <w:highlight w:val="none"/>
                <w:lang w:val="en-US" w:eastAsia="zh-CN"/>
              </w:rPr>
              <w:t xml:space="preserve">  </w:t>
            </w:r>
            <w:r>
              <w:rPr>
                <w:rFonts w:hint="eastAsia" w:ascii="方正黑体简体" w:hAnsi="方正黑体简体" w:eastAsia="方正黑体简体" w:cs="方正黑体简体"/>
                <w:b/>
                <w:bCs/>
                <w:color w:val="000000"/>
                <w:kern w:val="0"/>
                <w:sz w:val="32"/>
                <w:szCs w:val="32"/>
                <w:highlight w:val="none"/>
              </w:rPr>
              <w:t>目</w:t>
            </w:r>
          </w:p>
        </w:tc>
        <w:tc>
          <w:tcPr>
            <w:tcW w:w="2985" w:type="dxa"/>
            <w:tcBorders>
              <w:top w:val="single" w:color="auto" w:sz="4" w:space="0"/>
              <w:left w:val="nil"/>
              <w:bottom w:val="single" w:color="auto" w:sz="4" w:space="0"/>
              <w:right w:val="single" w:color="auto" w:sz="4" w:space="0"/>
            </w:tcBorders>
            <w:shd w:val="clear" w:color="auto" w:fill="auto"/>
            <w:noWrap/>
            <w:vAlign w:val="center"/>
          </w:tcPr>
          <w:p w14:paraId="35EBBA4F">
            <w:pPr>
              <w:widowControl/>
              <w:jc w:val="center"/>
              <w:rPr>
                <w:rFonts w:hint="eastAsia" w:ascii="方正黑体简体" w:hAnsi="方正黑体简体" w:eastAsia="方正黑体简体" w:cs="方正黑体简体"/>
                <w:b/>
                <w:bCs/>
                <w:color w:val="000000"/>
                <w:kern w:val="0"/>
                <w:sz w:val="32"/>
                <w:szCs w:val="32"/>
                <w:highlight w:val="none"/>
              </w:rPr>
            </w:pPr>
            <w:r>
              <w:rPr>
                <w:rFonts w:hint="eastAsia" w:ascii="方正黑体简体" w:hAnsi="方正黑体简体" w:eastAsia="方正黑体简体" w:cs="方正黑体简体"/>
                <w:b/>
                <w:bCs/>
                <w:color w:val="000000"/>
                <w:kern w:val="0"/>
                <w:sz w:val="32"/>
                <w:szCs w:val="32"/>
                <w:highlight w:val="none"/>
              </w:rPr>
              <w:t>金</w:t>
            </w:r>
            <w:r>
              <w:rPr>
                <w:rFonts w:hint="eastAsia" w:ascii="方正黑体简体" w:hAnsi="方正黑体简体" w:eastAsia="方正黑体简体" w:cs="方正黑体简体"/>
                <w:b/>
                <w:bCs/>
                <w:color w:val="000000"/>
                <w:kern w:val="0"/>
                <w:sz w:val="32"/>
                <w:szCs w:val="32"/>
                <w:highlight w:val="none"/>
                <w:lang w:val="en-US" w:eastAsia="zh-CN"/>
              </w:rPr>
              <w:t xml:space="preserve">  </w:t>
            </w:r>
            <w:r>
              <w:rPr>
                <w:rFonts w:hint="eastAsia" w:ascii="方正黑体简体" w:hAnsi="方正黑体简体" w:eastAsia="方正黑体简体" w:cs="方正黑体简体"/>
                <w:b/>
                <w:bCs/>
                <w:color w:val="000000"/>
                <w:kern w:val="0"/>
                <w:sz w:val="32"/>
                <w:szCs w:val="32"/>
                <w:highlight w:val="none"/>
              </w:rPr>
              <w:t>额</w:t>
            </w:r>
          </w:p>
        </w:tc>
      </w:tr>
      <w:tr w14:paraId="28D49FFF">
        <w:tblPrEx>
          <w:tblCellMar>
            <w:top w:w="0" w:type="dxa"/>
            <w:left w:w="108" w:type="dxa"/>
            <w:bottom w:w="0" w:type="dxa"/>
            <w:right w:w="108" w:type="dxa"/>
          </w:tblCellMar>
        </w:tblPrEx>
        <w:trPr>
          <w:trHeight w:val="897" w:hRule="exact"/>
        </w:trPr>
        <w:tc>
          <w:tcPr>
            <w:tcW w:w="1575" w:type="dxa"/>
            <w:tcBorders>
              <w:top w:val="nil"/>
              <w:left w:val="single" w:color="auto" w:sz="4" w:space="0"/>
              <w:bottom w:val="single" w:color="auto" w:sz="4" w:space="0"/>
              <w:right w:val="single" w:color="auto" w:sz="4" w:space="0"/>
            </w:tcBorders>
            <w:shd w:val="clear" w:color="auto" w:fill="auto"/>
            <w:noWrap/>
            <w:vAlign w:val="center"/>
          </w:tcPr>
          <w:p w14:paraId="2679FA25">
            <w:pPr>
              <w:widowControl/>
              <w:jc w:val="center"/>
              <w:rPr>
                <w:rFonts w:hint="eastAsia" w:ascii="Times New Roman" w:hAnsi="Times New Roman" w:eastAsia="方正仿宋简体" w:cs="Times New Roman"/>
                <w:b/>
                <w:bCs/>
                <w:color w:val="000000"/>
                <w:kern w:val="0"/>
                <w:sz w:val="32"/>
                <w:szCs w:val="32"/>
                <w:highlight w:val="none"/>
                <w:lang w:val="en-US" w:eastAsia="zh-CN"/>
              </w:rPr>
            </w:pPr>
            <w:r>
              <w:rPr>
                <w:rFonts w:hint="eastAsia" w:ascii="Times New Roman" w:hAnsi="Times New Roman" w:eastAsia="方正仿宋简体" w:cs="Times New Roman"/>
                <w:b/>
                <w:bCs/>
                <w:color w:val="000000"/>
                <w:kern w:val="0"/>
                <w:sz w:val="32"/>
                <w:szCs w:val="32"/>
                <w:highlight w:val="none"/>
                <w:lang w:val="en-US" w:eastAsia="zh-CN"/>
              </w:rPr>
              <w:t>1</w:t>
            </w:r>
          </w:p>
        </w:tc>
        <w:tc>
          <w:tcPr>
            <w:tcW w:w="4138" w:type="dxa"/>
            <w:tcBorders>
              <w:top w:val="nil"/>
              <w:left w:val="single" w:color="auto" w:sz="4" w:space="0"/>
              <w:bottom w:val="single" w:color="auto" w:sz="4" w:space="0"/>
              <w:right w:val="single" w:color="auto" w:sz="4" w:space="0"/>
            </w:tcBorders>
            <w:shd w:val="clear" w:color="auto" w:fill="auto"/>
            <w:noWrap/>
            <w:vAlign w:val="center"/>
          </w:tcPr>
          <w:p w14:paraId="290ECD69">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资产总额</w:t>
            </w:r>
          </w:p>
        </w:tc>
        <w:tc>
          <w:tcPr>
            <w:tcW w:w="2985" w:type="dxa"/>
            <w:tcBorders>
              <w:top w:val="nil"/>
              <w:left w:val="nil"/>
              <w:bottom w:val="single" w:color="auto" w:sz="4" w:space="0"/>
              <w:right w:val="single" w:color="auto" w:sz="4" w:space="0"/>
            </w:tcBorders>
            <w:shd w:val="clear" w:color="auto" w:fill="auto"/>
            <w:noWrap/>
            <w:vAlign w:val="center"/>
          </w:tcPr>
          <w:p w14:paraId="7F0C175C">
            <w:pPr>
              <w:widowControl/>
              <w:jc w:val="center"/>
              <w:rPr>
                <w:rFonts w:hint="default" w:ascii="Times New Roman" w:hAnsi="Times New Roman" w:eastAsia="方正仿宋简体" w:cs="Times New Roman"/>
                <w:b/>
                <w:bCs/>
                <w:color w:val="000000"/>
                <w:kern w:val="0"/>
                <w:sz w:val="32"/>
                <w:szCs w:val="32"/>
                <w:highlight w:val="none"/>
              </w:rPr>
            </w:pPr>
            <w:r>
              <w:rPr>
                <w:rFonts w:hint="eastAsia" w:ascii="Times New Roman" w:hAnsi="Times New Roman" w:eastAsia="方正仿宋简体" w:cs="Times New Roman"/>
                <w:b/>
                <w:bCs/>
                <w:color w:val="000000"/>
                <w:sz w:val="32"/>
                <w:szCs w:val="32"/>
                <w:highlight w:val="none"/>
                <w:lang w:val="en-US"/>
              </w:rPr>
              <w:t>770.26</w:t>
            </w:r>
          </w:p>
        </w:tc>
      </w:tr>
      <w:tr w14:paraId="4ECE792D">
        <w:tblPrEx>
          <w:tblCellMar>
            <w:top w:w="0" w:type="dxa"/>
            <w:left w:w="108" w:type="dxa"/>
            <w:bottom w:w="0" w:type="dxa"/>
            <w:right w:w="108" w:type="dxa"/>
          </w:tblCellMar>
        </w:tblPrEx>
        <w:trPr>
          <w:trHeight w:val="897" w:hRule="exact"/>
        </w:trPr>
        <w:tc>
          <w:tcPr>
            <w:tcW w:w="1575" w:type="dxa"/>
            <w:tcBorders>
              <w:top w:val="nil"/>
              <w:left w:val="single" w:color="auto" w:sz="4" w:space="0"/>
              <w:bottom w:val="single" w:color="auto" w:sz="4" w:space="0"/>
              <w:right w:val="single" w:color="auto" w:sz="4" w:space="0"/>
            </w:tcBorders>
            <w:shd w:val="clear" w:color="auto" w:fill="auto"/>
            <w:noWrap/>
            <w:vAlign w:val="center"/>
          </w:tcPr>
          <w:p w14:paraId="0539EB27">
            <w:pPr>
              <w:widowControl/>
              <w:jc w:val="center"/>
              <w:rPr>
                <w:rFonts w:hint="eastAsia" w:ascii="Times New Roman" w:hAnsi="Times New Roman" w:eastAsia="方正仿宋简体" w:cs="Times New Roman"/>
                <w:b/>
                <w:bCs/>
                <w:color w:val="000000"/>
                <w:kern w:val="0"/>
                <w:sz w:val="32"/>
                <w:szCs w:val="32"/>
                <w:highlight w:val="none"/>
                <w:lang w:val="en-US" w:eastAsia="zh-CN"/>
              </w:rPr>
            </w:pPr>
            <w:r>
              <w:rPr>
                <w:rFonts w:hint="eastAsia" w:ascii="Times New Roman" w:hAnsi="Times New Roman" w:eastAsia="方正仿宋简体" w:cs="Times New Roman"/>
                <w:b/>
                <w:bCs/>
                <w:color w:val="000000"/>
                <w:kern w:val="0"/>
                <w:sz w:val="32"/>
                <w:szCs w:val="32"/>
                <w:highlight w:val="none"/>
                <w:lang w:val="en-US" w:eastAsia="zh-CN"/>
              </w:rPr>
              <w:t>2</w:t>
            </w:r>
          </w:p>
        </w:tc>
        <w:tc>
          <w:tcPr>
            <w:tcW w:w="4138" w:type="dxa"/>
            <w:tcBorders>
              <w:top w:val="nil"/>
              <w:left w:val="single" w:color="auto" w:sz="4" w:space="0"/>
              <w:bottom w:val="single" w:color="auto" w:sz="4" w:space="0"/>
              <w:right w:val="single" w:color="auto" w:sz="4" w:space="0"/>
            </w:tcBorders>
            <w:shd w:val="clear" w:color="auto" w:fill="auto"/>
            <w:noWrap/>
            <w:vAlign w:val="center"/>
          </w:tcPr>
          <w:p w14:paraId="5D62D147">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负债总额</w:t>
            </w:r>
          </w:p>
        </w:tc>
        <w:tc>
          <w:tcPr>
            <w:tcW w:w="2985" w:type="dxa"/>
            <w:tcBorders>
              <w:top w:val="nil"/>
              <w:left w:val="nil"/>
              <w:bottom w:val="single" w:color="auto" w:sz="4" w:space="0"/>
              <w:right w:val="single" w:color="auto" w:sz="4" w:space="0"/>
            </w:tcBorders>
            <w:shd w:val="clear" w:color="auto" w:fill="auto"/>
            <w:noWrap/>
            <w:vAlign w:val="center"/>
          </w:tcPr>
          <w:p w14:paraId="14738731">
            <w:pPr>
              <w:widowControl/>
              <w:jc w:val="center"/>
              <w:rPr>
                <w:rFonts w:hint="default" w:ascii="Times New Roman" w:hAnsi="Times New Roman" w:eastAsia="方正仿宋简体" w:cs="Times New Roman"/>
                <w:b/>
                <w:bCs/>
                <w:color w:val="000000"/>
                <w:kern w:val="0"/>
                <w:sz w:val="32"/>
                <w:szCs w:val="32"/>
                <w:highlight w:val="none"/>
              </w:rPr>
            </w:pPr>
            <w:r>
              <w:rPr>
                <w:rFonts w:hint="eastAsia" w:ascii="Times New Roman" w:hAnsi="Times New Roman" w:eastAsia="方正仿宋简体" w:cs="Times New Roman"/>
                <w:b/>
                <w:bCs/>
                <w:color w:val="000000"/>
                <w:sz w:val="32"/>
                <w:szCs w:val="32"/>
                <w:highlight w:val="none"/>
                <w:lang w:val="en-US"/>
              </w:rPr>
              <w:t>549.53</w:t>
            </w:r>
          </w:p>
        </w:tc>
      </w:tr>
      <w:tr w14:paraId="39924C32">
        <w:tblPrEx>
          <w:tblCellMar>
            <w:top w:w="0" w:type="dxa"/>
            <w:left w:w="108" w:type="dxa"/>
            <w:bottom w:w="0" w:type="dxa"/>
            <w:right w:w="108" w:type="dxa"/>
          </w:tblCellMar>
        </w:tblPrEx>
        <w:trPr>
          <w:trHeight w:val="897" w:hRule="exact"/>
        </w:trPr>
        <w:tc>
          <w:tcPr>
            <w:tcW w:w="1575" w:type="dxa"/>
            <w:tcBorders>
              <w:top w:val="nil"/>
              <w:left w:val="single" w:color="auto" w:sz="4" w:space="0"/>
              <w:bottom w:val="single" w:color="auto" w:sz="4" w:space="0"/>
              <w:right w:val="single" w:color="auto" w:sz="4" w:space="0"/>
            </w:tcBorders>
            <w:shd w:val="clear" w:color="auto" w:fill="auto"/>
            <w:noWrap/>
            <w:vAlign w:val="center"/>
          </w:tcPr>
          <w:p w14:paraId="2782B674">
            <w:pPr>
              <w:widowControl/>
              <w:jc w:val="center"/>
              <w:rPr>
                <w:rFonts w:hint="eastAsia" w:ascii="Times New Roman" w:hAnsi="Times New Roman" w:eastAsia="方正仿宋简体" w:cs="Times New Roman"/>
                <w:b/>
                <w:bCs/>
                <w:color w:val="000000"/>
                <w:kern w:val="0"/>
                <w:sz w:val="32"/>
                <w:szCs w:val="32"/>
                <w:highlight w:val="none"/>
                <w:lang w:val="en-US" w:eastAsia="zh-CN"/>
              </w:rPr>
            </w:pPr>
            <w:r>
              <w:rPr>
                <w:rFonts w:hint="eastAsia" w:ascii="Times New Roman" w:hAnsi="Times New Roman" w:eastAsia="方正仿宋简体" w:cs="Times New Roman"/>
                <w:b/>
                <w:bCs/>
                <w:color w:val="000000"/>
                <w:kern w:val="0"/>
                <w:sz w:val="32"/>
                <w:szCs w:val="32"/>
                <w:highlight w:val="none"/>
                <w:lang w:val="en-US" w:eastAsia="zh-CN"/>
              </w:rPr>
              <w:t>3</w:t>
            </w:r>
          </w:p>
        </w:tc>
        <w:tc>
          <w:tcPr>
            <w:tcW w:w="4138" w:type="dxa"/>
            <w:tcBorders>
              <w:top w:val="nil"/>
              <w:left w:val="single" w:color="auto" w:sz="4" w:space="0"/>
              <w:bottom w:val="single" w:color="auto" w:sz="4" w:space="0"/>
              <w:right w:val="single" w:color="auto" w:sz="4" w:space="0"/>
            </w:tcBorders>
            <w:shd w:val="clear" w:color="auto" w:fill="auto"/>
            <w:noWrap/>
            <w:vAlign w:val="center"/>
          </w:tcPr>
          <w:p w14:paraId="79DE6A01">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所有者权益</w:t>
            </w:r>
          </w:p>
        </w:tc>
        <w:tc>
          <w:tcPr>
            <w:tcW w:w="2985" w:type="dxa"/>
            <w:tcBorders>
              <w:top w:val="nil"/>
              <w:left w:val="nil"/>
              <w:bottom w:val="single" w:color="auto" w:sz="4" w:space="0"/>
              <w:right w:val="single" w:color="auto" w:sz="4" w:space="0"/>
            </w:tcBorders>
            <w:shd w:val="clear" w:color="auto" w:fill="auto"/>
            <w:noWrap/>
            <w:vAlign w:val="center"/>
          </w:tcPr>
          <w:p w14:paraId="42BB1CD6">
            <w:pPr>
              <w:widowControl/>
              <w:jc w:val="center"/>
              <w:rPr>
                <w:rFonts w:hint="default" w:ascii="Times New Roman" w:hAnsi="Times New Roman" w:eastAsia="方正仿宋简体" w:cs="Times New Roman"/>
                <w:b/>
                <w:bCs/>
                <w:color w:val="000000"/>
                <w:kern w:val="0"/>
                <w:sz w:val="32"/>
                <w:szCs w:val="32"/>
                <w:highlight w:val="none"/>
              </w:rPr>
            </w:pPr>
            <w:r>
              <w:rPr>
                <w:rFonts w:hint="eastAsia" w:ascii="Times New Roman" w:hAnsi="Times New Roman" w:eastAsia="方正仿宋简体" w:cs="Times New Roman"/>
                <w:b/>
                <w:bCs/>
                <w:color w:val="000000"/>
                <w:sz w:val="32"/>
                <w:szCs w:val="32"/>
                <w:highlight w:val="none"/>
                <w:lang w:val="en-US"/>
              </w:rPr>
              <w:t>220.73</w:t>
            </w:r>
          </w:p>
        </w:tc>
      </w:tr>
      <w:tr w14:paraId="5017C524">
        <w:tblPrEx>
          <w:tblCellMar>
            <w:top w:w="0" w:type="dxa"/>
            <w:left w:w="108" w:type="dxa"/>
            <w:bottom w:w="0" w:type="dxa"/>
            <w:right w:w="108" w:type="dxa"/>
          </w:tblCellMar>
        </w:tblPrEx>
        <w:trPr>
          <w:trHeight w:val="897" w:hRule="exact"/>
        </w:trPr>
        <w:tc>
          <w:tcPr>
            <w:tcW w:w="1575" w:type="dxa"/>
            <w:tcBorders>
              <w:top w:val="nil"/>
              <w:left w:val="single" w:color="auto" w:sz="4" w:space="0"/>
              <w:bottom w:val="single" w:color="auto" w:sz="4" w:space="0"/>
              <w:right w:val="single" w:color="auto" w:sz="4" w:space="0"/>
            </w:tcBorders>
            <w:shd w:val="clear" w:color="auto" w:fill="auto"/>
            <w:noWrap/>
            <w:vAlign w:val="center"/>
          </w:tcPr>
          <w:p w14:paraId="68549C68">
            <w:pPr>
              <w:widowControl/>
              <w:jc w:val="center"/>
              <w:rPr>
                <w:rFonts w:hint="eastAsia" w:ascii="Times New Roman" w:hAnsi="Times New Roman" w:eastAsia="方正仿宋简体" w:cs="Times New Roman"/>
                <w:b/>
                <w:bCs/>
                <w:color w:val="000000"/>
                <w:kern w:val="0"/>
                <w:sz w:val="32"/>
                <w:szCs w:val="32"/>
                <w:highlight w:val="none"/>
                <w:lang w:val="en-US" w:eastAsia="zh-CN"/>
              </w:rPr>
            </w:pPr>
            <w:r>
              <w:rPr>
                <w:rFonts w:hint="eastAsia" w:ascii="Times New Roman" w:hAnsi="Times New Roman" w:eastAsia="方正仿宋简体" w:cs="Times New Roman"/>
                <w:b/>
                <w:bCs/>
                <w:color w:val="000000"/>
                <w:kern w:val="0"/>
                <w:sz w:val="32"/>
                <w:szCs w:val="32"/>
                <w:highlight w:val="none"/>
                <w:lang w:val="en-US" w:eastAsia="zh-CN"/>
              </w:rPr>
              <w:t>4</w:t>
            </w:r>
          </w:p>
        </w:tc>
        <w:tc>
          <w:tcPr>
            <w:tcW w:w="4138" w:type="dxa"/>
            <w:tcBorders>
              <w:top w:val="nil"/>
              <w:left w:val="single" w:color="auto" w:sz="4" w:space="0"/>
              <w:bottom w:val="single" w:color="auto" w:sz="4" w:space="0"/>
              <w:right w:val="single" w:color="auto" w:sz="4" w:space="0"/>
            </w:tcBorders>
            <w:shd w:val="clear" w:color="auto" w:fill="auto"/>
            <w:noWrap/>
            <w:vAlign w:val="center"/>
          </w:tcPr>
          <w:p w14:paraId="2294E1DA">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营业收入</w:t>
            </w:r>
          </w:p>
        </w:tc>
        <w:tc>
          <w:tcPr>
            <w:tcW w:w="2985" w:type="dxa"/>
            <w:tcBorders>
              <w:top w:val="nil"/>
              <w:left w:val="nil"/>
              <w:bottom w:val="single" w:color="auto" w:sz="4" w:space="0"/>
              <w:right w:val="single" w:color="auto" w:sz="4" w:space="0"/>
            </w:tcBorders>
            <w:shd w:val="clear" w:color="auto" w:fill="auto"/>
            <w:noWrap/>
            <w:vAlign w:val="center"/>
          </w:tcPr>
          <w:p w14:paraId="385C24DC">
            <w:pPr>
              <w:widowControl/>
              <w:jc w:val="center"/>
              <w:rPr>
                <w:rFonts w:hint="default" w:ascii="Times New Roman" w:hAnsi="Times New Roman" w:eastAsia="方正仿宋简体" w:cs="Times New Roman"/>
                <w:b/>
                <w:bCs/>
                <w:color w:val="000000"/>
                <w:kern w:val="0"/>
                <w:sz w:val="32"/>
                <w:szCs w:val="32"/>
                <w:highlight w:val="none"/>
              </w:rPr>
            </w:pPr>
            <w:r>
              <w:rPr>
                <w:rFonts w:hint="eastAsia" w:ascii="Times New Roman" w:hAnsi="Times New Roman" w:eastAsia="方正仿宋简体" w:cs="Times New Roman"/>
                <w:b/>
                <w:bCs/>
                <w:color w:val="000000"/>
                <w:sz w:val="32"/>
                <w:szCs w:val="32"/>
                <w:highlight w:val="none"/>
                <w:lang w:val="en-US"/>
              </w:rPr>
              <w:t>156.53</w:t>
            </w:r>
          </w:p>
        </w:tc>
      </w:tr>
      <w:tr w14:paraId="69A27D66">
        <w:tblPrEx>
          <w:tblCellMar>
            <w:top w:w="0" w:type="dxa"/>
            <w:left w:w="108" w:type="dxa"/>
            <w:bottom w:w="0" w:type="dxa"/>
            <w:right w:w="108" w:type="dxa"/>
          </w:tblCellMar>
        </w:tblPrEx>
        <w:trPr>
          <w:trHeight w:val="897" w:hRule="exact"/>
        </w:trPr>
        <w:tc>
          <w:tcPr>
            <w:tcW w:w="1575" w:type="dxa"/>
            <w:tcBorders>
              <w:top w:val="nil"/>
              <w:left w:val="single" w:color="auto" w:sz="4" w:space="0"/>
              <w:bottom w:val="single" w:color="auto" w:sz="4" w:space="0"/>
              <w:right w:val="single" w:color="auto" w:sz="4" w:space="0"/>
            </w:tcBorders>
            <w:shd w:val="clear" w:color="auto" w:fill="auto"/>
            <w:noWrap/>
            <w:vAlign w:val="center"/>
          </w:tcPr>
          <w:p w14:paraId="7BF31D61">
            <w:pPr>
              <w:widowControl/>
              <w:jc w:val="center"/>
              <w:rPr>
                <w:rFonts w:hint="eastAsia" w:ascii="Times New Roman" w:hAnsi="Times New Roman" w:eastAsia="方正仿宋简体" w:cs="Times New Roman"/>
                <w:b/>
                <w:bCs/>
                <w:color w:val="000000"/>
                <w:kern w:val="0"/>
                <w:sz w:val="32"/>
                <w:szCs w:val="32"/>
                <w:highlight w:val="none"/>
                <w:lang w:val="en-US" w:eastAsia="zh-CN"/>
              </w:rPr>
            </w:pPr>
            <w:r>
              <w:rPr>
                <w:rFonts w:hint="eastAsia" w:ascii="Times New Roman" w:hAnsi="Times New Roman" w:eastAsia="方正仿宋简体" w:cs="Times New Roman"/>
                <w:b/>
                <w:bCs/>
                <w:color w:val="000000"/>
                <w:kern w:val="0"/>
                <w:sz w:val="32"/>
                <w:szCs w:val="32"/>
                <w:highlight w:val="none"/>
                <w:lang w:val="en-US" w:eastAsia="zh-CN"/>
              </w:rPr>
              <w:t>5</w:t>
            </w:r>
          </w:p>
        </w:tc>
        <w:tc>
          <w:tcPr>
            <w:tcW w:w="4138" w:type="dxa"/>
            <w:tcBorders>
              <w:top w:val="nil"/>
              <w:left w:val="single" w:color="auto" w:sz="4" w:space="0"/>
              <w:bottom w:val="single" w:color="auto" w:sz="4" w:space="0"/>
              <w:right w:val="single" w:color="auto" w:sz="4" w:space="0"/>
            </w:tcBorders>
            <w:shd w:val="clear" w:color="auto" w:fill="auto"/>
            <w:noWrap/>
            <w:vAlign w:val="center"/>
          </w:tcPr>
          <w:p w14:paraId="1A7822C4">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营业成本</w:t>
            </w:r>
          </w:p>
        </w:tc>
        <w:tc>
          <w:tcPr>
            <w:tcW w:w="2985" w:type="dxa"/>
            <w:tcBorders>
              <w:top w:val="nil"/>
              <w:left w:val="nil"/>
              <w:bottom w:val="single" w:color="auto" w:sz="4" w:space="0"/>
              <w:right w:val="single" w:color="auto" w:sz="4" w:space="0"/>
            </w:tcBorders>
            <w:shd w:val="clear" w:color="auto" w:fill="auto"/>
            <w:noWrap/>
            <w:vAlign w:val="center"/>
          </w:tcPr>
          <w:p w14:paraId="2BB99A55">
            <w:pPr>
              <w:widowControl/>
              <w:jc w:val="center"/>
              <w:rPr>
                <w:rFonts w:hint="default" w:ascii="Times New Roman" w:hAnsi="Times New Roman" w:eastAsia="方正仿宋简体" w:cs="Times New Roman"/>
                <w:b/>
                <w:bCs/>
                <w:color w:val="000000"/>
                <w:kern w:val="0"/>
                <w:sz w:val="32"/>
                <w:szCs w:val="32"/>
                <w:highlight w:val="none"/>
              </w:rPr>
            </w:pPr>
            <w:r>
              <w:rPr>
                <w:rFonts w:hint="eastAsia" w:ascii="Times New Roman" w:hAnsi="Times New Roman" w:eastAsia="方正仿宋简体" w:cs="Times New Roman"/>
                <w:b/>
                <w:bCs/>
                <w:color w:val="000000"/>
                <w:sz w:val="32"/>
                <w:szCs w:val="32"/>
                <w:highlight w:val="none"/>
              </w:rPr>
              <w:t>133.76</w:t>
            </w:r>
          </w:p>
        </w:tc>
      </w:tr>
      <w:tr w14:paraId="1DABBAD8">
        <w:tblPrEx>
          <w:tblCellMar>
            <w:top w:w="0" w:type="dxa"/>
            <w:left w:w="108" w:type="dxa"/>
            <w:bottom w:w="0" w:type="dxa"/>
            <w:right w:w="108" w:type="dxa"/>
          </w:tblCellMar>
        </w:tblPrEx>
        <w:trPr>
          <w:trHeight w:val="924" w:hRule="exact"/>
        </w:trPr>
        <w:tc>
          <w:tcPr>
            <w:tcW w:w="1575" w:type="dxa"/>
            <w:tcBorders>
              <w:top w:val="nil"/>
              <w:left w:val="single" w:color="auto" w:sz="4" w:space="0"/>
              <w:bottom w:val="single" w:color="auto" w:sz="4" w:space="0"/>
              <w:right w:val="single" w:color="auto" w:sz="4" w:space="0"/>
            </w:tcBorders>
            <w:shd w:val="clear" w:color="auto" w:fill="auto"/>
            <w:noWrap/>
            <w:vAlign w:val="center"/>
          </w:tcPr>
          <w:p w14:paraId="49C36A20">
            <w:pPr>
              <w:widowControl/>
              <w:jc w:val="center"/>
              <w:rPr>
                <w:rFonts w:hint="eastAsia" w:ascii="Times New Roman" w:hAnsi="Times New Roman" w:eastAsia="方正仿宋简体" w:cs="Times New Roman"/>
                <w:b/>
                <w:bCs/>
                <w:color w:val="000000"/>
                <w:kern w:val="0"/>
                <w:sz w:val="32"/>
                <w:szCs w:val="32"/>
                <w:highlight w:val="none"/>
                <w:lang w:val="en-US" w:eastAsia="zh-CN"/>
              </w:rPr>
            </w:pPr>
            <w:r>
              <w:rPr>
                <w:rFonts w:hint="eastAsia" w:ascii="Times New Roman" w:hAnsi="Times New Roman" w:eastAsia="方正仿宋简体" w:cs="Times New Roman"/>
                <w:b/>
                <w:bCs/>
                <w:color w:val="000000"/>
                <w:kern w:val="0"/>
                <w:sz w:val="32"/>
                <w:szCs w:val="32"/>
                <w:highlight w:val="none"/>
                <w:lang w:val="en-US" w:eastAsia="zh-CN"/>
              </w:rPr>
              <w:t>6</w:t>
            </w:r>
          </w:p>
        </w:tc>
        <w:tc>
          <w:tcPr>
            <w:tcW w:w="4138" w:type="dxa"/>
            <w:tcBorders>
              <w:top w:val="nil"/>
              <w:left w:val="single" w:color="auto" w:sz="4" w:space="0"/>
              <w:bottom w:val="single" w:color="auto" w:sz="4" w:space="0"/>
              <w:right w:val="single" w:color="auto" w:sz="4" w:space="0"/>
            </w:tcBorders>
            <w:shd w:val="clear" w:color="auto" w:fill="auto"/>
            <w:noWrap/>
            <w:vAlign w:val="center"/>
          </w:tcPr>
          <w:p w14:paraId="7836F778">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利润总额</w:t>
            </w:r>
          </w:p>
        </w:tc>
        <w:tc>
          <w:tcPr>
            <w:tcW w:w="2985" w:type="dxa"/>
            <w:tcBorders>
              <w:top w:val="nil"/>
              <w:left w:val="nil"/>
              <w:bottom w:val="single" w:color="auto" w:sz="4" w:space="0"/>
              <w:right w:val="single" w:color="auto" w:sz="4" w:space="0"/>
            </w:tcBorders>
            <w:shd w:val="clear" w:color="auto" w:fill="auto"/>
            <w:noWrap/>
            <w:vAlign w:val="center"/>
          </w:tcPr>
          <w:p w14:paraId="20BAB9B8">
            <w:pPr>
              <w:widowControl/>
              <w:jc w:val="center"/>
              <w:rPr>
                <w:rFonts w:hint="default" w:ascii="Times New Roman" w:hAnsi="Times New Roman" w:eastAsia="方正仿宋简体" w:cs="Times New Roman"/>
                <w:b/>
                <w:bCs/>
                <w:color w:val="000000"/>
                <w:kern w:val="0"/>
                <w:sz w:val="32"/>
                <w:szCs w:val="32"/>
                <w:highlight w:val="none"/>
              </w:rPr>
            </w:pPr>
            <w:r>
              <w:rPr>
                <w:rFonts w:ascii="Times New Roman" w:hAnsi="Times New Roman" w:eastAsia="方正仿宋简体" w:cs="Times New Roman"/>
                <w:b/>
                <w:bCs/>
                <w:color w:val="000000"/>
                <w:sz w:val="32"/>
                <w:szCs w:val="32"/>
                <w:highlight w:val="none"/>
              </w:rPr>
              <w:t>5.</w:t>
            </w:r>
            <w:r>
              <w:rPr>
                <w:rFonts w:hint="eastAsia" w:ascii="Times New Roman" w:hAnsi="Times New Roman" w:eastAsia="方正仿宋简体" w:cs="Times New Roman"/>
                <w:b/>
                <w:bCs/>
                <w:color w:val="000000"/>
                <w:sz w:val="32"/>
                <w:szCs w:val="32"/>
                <w:highlight w:val="none"/>
              </w:rPr>
              <w:t>84</w:t>
            </w:r>
          </w:p>
        </w:tc>
      </w:tr>
    </w:tbl>
    <w:p w14:paraId="05987774">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hint="eastAsia" w:ascii="方正黑体简体" w:hAnsi="方正黑体简体" w:eastAsia="方正黑体简体" w:cs="Times New Roman"/>
          <w:b/>
          <w:sz w:val="32"/>
          <w:szCs w:val="32"/>
          <w:highlight w:val="none"/>
          <w:lang w:eastAsia="zh-CN"/>
        </w:rPr>
      </w:pPr>
      <w:r>
        <w:rPr>
          <w:rFonts w:hint="eastAsia" w:ascii="方正黑体简体" w:hAnsi="方正黑体简体" w:eastAsia="方正黑体简体" w:cs="Times New Roman"/>
          <w:b/>
          <w:sz w:val="32"/>
          <w:szCs w:val="32"/>
          <w:highlight w:val="none"/>
          <w:lang w:eastAsia="zh-CN"/>
        </w:rPr>
        <w:t>三</w:t>
      </w:r>
      <w:r>
        <w:rPr>
          <w:rFonts w:hint="eastAsia" w:ascii="方正黑体简体" w:hAnsi="方正黑体简体" w:eastAsia="方正黑体简体" w:cs="Times New Roman"/>
          <w:b/>
          <w:sz w:val="32"/>
          <w:szCs w:val="32"/>
          <w:highlight w:val="none"/>
        </w:rPr>
        <w:t>、财务会计报告和审计报告摘要</w:t>
      </w:r>
    </w:p>
    <w:p w14:paraId="14BB3BB6">
      <w:pPr>
        <w:spacing w:line="600" w:lineRule="exact"/>
        <w:ind w:firstLine="787" w:firstLineChars="245"/>
        <w:rPr>
          <w:rFonts w:ascii="Times New Roman" w:hAnsi="Times New Roman" w:eastAsia="方正仿宋简体" w:cs="Times New Roman"/>
          <w:b/>
          <w:color w:val="000000"/>
          <w:sz w:val="32"/>
          <w:szCs w:val="32"/>
          <w:highlight w:val="none"/>
        </w:rPr>
      </w:pPr>
      <w:r>
        <w:rPr>
          <w:rFonts w:hint="eastAsia" w:ascii="Times New Roman" w:hAnsi="Times New Roman" w:eastAsia="方正仿宋简体" w:cs="Times New Roman"/>
          <w:b/>
          <w:sz w:val="32"/>
          <w:szCs w:val="32"/>
          <w:highlight w:val="none"/>
        </w:rPr>
        <w:t>和信会计师事务所（</w:t>
      </w:r>
      <w:r>
        <w:rPr>
          <w:rFonts w:ascii="Times New Roman" w:hAnsi="Times New Roman" w:eastAsia="方正仿宋简体" w:cs="Times New Roman"/>
          <w:b/>
          <w:sz w:val="32"/>
          <w:szCs w:val="32"/>
          <w:highlight w:val="none"/>
        </w:rPr>
        <w:t>特殊普通合伙</w:t>
      </w:r>
      <w:r>
        <w:rPr>
          <w:rFonts w:hint="eastAsia" w:ascii="Times New Roman" w:hAnsi="Times New Roman" w:eastAsia="方正仿宋简体" w:cs="Times New Roman"/>
          <w:b/>
          <w:sz w:val="32"/>
          <w:szCs w:val="32"/>
          <w:highlight w:val="none"/>
        </w:rPr>
        <w:t>）</w:t>
      </w:r>
      <w:r>
        <w:rPr>
          <w:rFonts w:ascii="Times New Roman" w:hAnsi="Times New Roman" w:eastAsia="方正仿宋简体" w:cs="Times New Roman"/>
          <w:b/>
          <w:sz w:val="32"/>
          <w:szCs w:val="32"/>
          <w:highlight w:val="none"/>
        </w:rPr>
        <w:t>审</w:t>
      </w:r>
      <w:r>
        <w:rPr>
          <w:rFonts w:ascii="Times New Roman" w:hAnsi="Times New Roman" w:eastAsia="方正仿宋简体" w:cs="Times New Roman"/>
          <w:b/>
          <w:color w:val="000000"/>
          <w:sz w:val="32"/>
          <w:szCs w:val="32"/>
          <w:highlight w:val="none"/>
        </w:rPr>
        <w:t>计了202</w:t>
      </w:r>
      <w:r>
        <w:rPr>
          <w:rFonts w:hint="eastAsia" w:ascii="Times New Roman" w:hAnsi="Times New Roman" w:eastAsia="方正仿宋简体" w:cs="Times New Roman"/>
          <w:b/>
          <w:color w:val="000000"/>
          <w:sz w:val="32"/>
          <w:szCs w:val="32"/>
          <w:highlight w:val="none"/>
        </w:rPr>
        <w:t>4</w:t>
      </w:r>
      <w:r>
        <w:rPr>
          <w:rFonts w:ascii="Times New Roman" w:hAnsi="Times New Roman" w:eastAsia="方正仿宋简体" w:cs="Times New Roman"/>
          <w:b/>
          <w:color w:val="000000"/>
          <w:sz w:val="32"/>
          <w:szCs w:val="32"/>
          <w:highlight w:val="none"/>
        </w:rPr>
        <w:t>年12月31日的合并及公司资产负债表、利润表、现金流量表、</w:t>
      </w:r>
      <w:r>
        <w:rPr>
          <w:rFonts w:hint="eastAsia" w:ascii="Times New Roman" w:hAnsi="Times New Roman" w:eastAsia="方正仿宋简体" w:cs="Times New Roman"/>
          <w:b/>
          <w:color w:val="000000"/>
          <w:sz w:val="32"/>
          <w:szCs w:val="32"/>
          <w:highlight w:val="none"/>
        </w:rPr>
        <w:t>所有者</w:t>
      </w:r>
      <w:r>
        <w:rPr>
          <w:rFonts w:ascii="Times New Roman" w:hAnsi="Times New Roman" w:eastAsia="方正仿宋简体" w:cs="Times New Roman"/>
          <w:b/>
          <w:color w:val="000000"/>
          <w:sz w:val="32"/>
          <w:szCs w:val="32"/>
          <w:highlight w:val="none"/>
        </w:rPr>
        <w:t>权益变动表以及相关财务报表附注。</w:t>
      </w:r>
    </w:p>
    <w:p w14:paraId="406C6991">
      <w:pPr>
        <w:spacing w:line="600" w:lineRule="exact"/>
        <w:ind w:firstLine="643" w:firstLineChars="200"/>
        <w:rPr>
          <w:rFonts w:ascii="Times New Roman" w:hAnsi="Times New Roman" w:eastAsia="方正仿宋简体" w:cs="Times New Roman"/>
          <w:b/>
          <w:sz w:val="32"/>
          <w:szCs w:val="32"/>
          <w:highlight w:val="none"/>
        </w:rPr>
      </w:pPr>
      <w:r>
        <w:rPr>
          <w:rFonts w:hint="eastAsia" w:ascii="Times New Roman" w:hAnsi="Times New Roman" w:eastAsia="方正楷体简体" w:cs="Times New Roman"/>
          <w:b/>
          <w:bCs/>
          <w:kern w:val="44"/>
          <w:sz w:val="32"/>
          <w:szCs w:val="32"/>
          <w:highlight w:val="none"/>
        </w:rPr>
        <w:t>（一）</w:t>
      </w:r>
      <w:r>
        <w:rPr>
          <w:rFonts w:ascii="Times New Roman" w:hAnsi="Times New Roman" w:eastAsia="方正楷体简体" w:cs="Times New Roman"/>
          <w:b/>
          <w:bCs/>
          <w:kern w:val="44"/>
          <w:sz w:val="32"/>
          <w:szCs w:val="32"/>
          <w:highlight w:val="none"/>
        </w:rPr>
        <w:t>审计意见</w:t>
      </w:r>
      <w:r>
        <w:rPr>
          <w:rFonts w:hint="eastAsia" w:ascii="Times New Roman" w:hAnsi="Times New Roman" w:eastAsia="方正楷体简体" w:cs="Times New Roman"/>
          <w:b/>
          <w:bCs/>
          <w:kern w:val="44"/>
          <w:sz w:val="32"/>
          <w:szCs w:val="32"/>
          <w:highlight w:val="none"/>
        </w:rPr>
        <w:t>。</w:t>
      </w:r>
      <w:r>
        <w:rPr>
          <w:rFonts w:ascii="Times New Roman" w:hAnsi="Times New Roman" w:eastAsia="方正仿宋简体" w:cs="Times New Roman"/>
          <w:b/>
          <w:color w:val="000000"/>
          <w:sz w:val="32"/>
          <w:szCs w:val="32"/>
          <w:highlight w:val="none"/>
        </w:rPr>
        <w:t>事务所认为，</w:t>
      </w:r>
      <w:r>
        <w:rPr>
          <w:rFonts w:hint="eastAsia" w:ascii="Times New Roman" w:hAnsi="Times New Roman" w:eastAsia="方正仿宋简体" w:cs="Times New Roman"/>
          <w:b/>
          <w:color w:val="000000"/>
          <w:sz w:val="32"/>
          <w:szCs w:val="32"/>
          <w:highlight w:val="none"/>
        </w:rPr>
        <w:t>后附的财务报表在所有重大方面按照企业会计准则的规定编制，公允反映了公司</w:t>
      </w:r>
      <w:r>
        <w:rPr>
          <w:rFonts w:ascii="Times New Roman" w:hAnsi="Times New Roman" w:eastAsia="方正仿宋简体" w:cs="Times New Roman"/>
          <w:b/>
          <w:color w:val="000000"/>
          <w:sz w:val="32"/>
          <w:szCs w:val="32"/>
          <w:highlight w:val="none"/>
        </w:rPr>
        <w:t>202</w:t>
      </w:r>
      <w:r>
        <w:rPr>
          <w:rFonts w:hint="eastAsia" w:ascii="Times New Roman" w:hAnsi="Times New Roman" w:eastAsia="方正仿宋简体" w:cs="Times New Roman"/>
          <w:b/>
          <w:color w:val="000000"/>
          <w:sz w:val="32"/>
          <w:szCs w:val="32"/>
          <w:highlight w:val="none"/>
        </w:rPr>
        <w:t>4</w:t>
      </w:r>
      <w:r>
        <w:rPr>
          <w:rFonts w:ascii="Times New Roman" w:hAnsi="Times New Roman" w:eastAsia="方正仿宋简体" w:cs="Times New Roman"/>
          <w:b/>
          <w:color w:val="000000"/>
          <w:sz w:val="32"/>
          <w:szCs w:val="32"/>
          <w:highlight w:val="none"/>
        </w:rPr>
        <w:t>年12月31日的合并及公司财务状况以及202</w:t>
      </w:r>
      <w:r>
        <w:rPr>
          <w:rFonts w:hint="eastAsia" w:ascii="Times New Roman" w:hAnsi="Times New Roman" w:eastAsia="方正仿宋简体" w:cs="Times New Roman"/>
          <w:b/>
          <w:color w:val="000000"/>
          <w:sz w:val="32"/>
          <w:szCs w:val="32"/>
          <w:highlight w:val="none"/>
        </w:rPr>
        <w:t>4</w:t>
      </w:r>
      <w:r>
        <w:rPr>
          <w:rFonts w:ascii="Times New Roman" w:hAnsi="Times New Roman" w:eastAsia="方正仿宋简体" w:cs="Times New Roman"/>
          <w:b/>
          <w:color w:val="000000"/>
          <w:sz w:val="32"/>
          <w:szCs w:val="32"/>
          <w:highlight w:val="none"/>
        </w:rPr>
        <w:t>年度的合并及公司经营成果和现金流量</w:t>
      </w:r>
      <w:r>
        <w:rPr>
          <w:rFonts w:ascii="Times New Roman" w:hAnsi="Times New Roman" w:eastAsia="方正仿宋简体" w:cs="Times New Roman"/>
          <w:b/>
          <w:sz w:val="32"/>
          <w:szCs w:val="32"/>
          <w:highlight w:val="none"/>
        </w:rPr>
        <w:t>。</w:t>
      </w:r>
    </w:p>
    <w:p w14:paraId="516C8F42">
      <w:pPr>
        <w:spacing w:line="600" w:lineRule="exact"/>
        <w:ind w:firstLine="643" w:firstLineChars="200"/>
        <w:rPr>
          <w:rFonts w:ascii="Times New Roman" w:hAnsi="Times New Roman" w:eastAsia="方正仿宋简体" w:cs="Times New Roman"/>
          <w:b/>
          <w:color w:val="000000"/>
          <w:sz w:val="32"/>
          <w:szCs w:val="32"/>
          <w:highlight w:val="none"/>
        </w:rPr>
      </w:pPr>
      <w:r>
        <w:rPr>
          <w:rFonts w:hint="eastAsia" w:ascii="Times New Roman" w:hAnsi="Times New Roman" w:eastAsia="方正楷体简体" w:cs="Times New Roman"/>
          <w:b/>
          <w:bCs/>
          <w:kern w:val="44"/>
          <w:sz w:val="32"/>
          <w:szCs w:val="32"/>
          <w:highlight w:val="none"/>
        </w:rPr>
        <w:t>（二）</w:t>
      </w:r>
      <w:r>
        <w:rPr>
          <w:rFonts w:ascii="Times New Roman" w:hAnsi="Times New Roman" w:eastAsia="方正楷体简体" w:cs="Times New Roman"/>
          <w:b/>
          <w:bCs/>
          <w:kern w:val="44"/>
          <w:sz w:val="32"/>
          <w:szCs w:val="32"/>
          <w:highlight w:val="none"/>
        </w:rPr>
        <w:t>形成审计意见的基础</w:t>
      </w:r>
      <w:r>
        <w:rPr>
          <w:rFonts w:hint="eastAsia" w:ascii="Times New Roman" w:hAnsi="Times New Roman" w:eastAsia="方正楷体简体" w:cs="Times New Roman"/>
          <w:b/>
          <w:bCs/>
          <w:kern w:val="44"/>
          <w:sz w:val="32"/>
          <w:szCs w:val="32"/>
          <w:highlight w:val="none"/>
        </w:rPr>
        <w:t>。</w:t>
      </w:r>
      <w:r>
        <w:rPr>
          <w:rFonts w:ascii="Times New Roman" w:hAnsi="Times New Roman" w:eastAsia="方正仿宋简体" w:cs="Times New Roman"/>
          <w:b/>
          <w:color w:val="000000"/>
          <w:sz w:val="32"/>
          <w:szCs w:val="32"/>
          <w:highlight w:val="none"/>
        </w:rPr>
        <w:t>事务所</w:t>
      </w:r>
      <w:r>
        <w:rPr>
          <w:rFonts w:hint="eastAsia" w:ascii="Times New Roman" w:hAnsi="Times New Roman" w:eastAsia="方正仿宋简体" w:cs="Times New Roman"/>
          <w:b/>
          <w:color w:val="000000"/>
          <w:sz w:val="32"/>
          <w:szCs w:val="32"/>
          <w:highlight w:val="none"/>
        </w:rPr>
        <w:t>按照中国注册会计师审计准则的规定执行了审计工作。审计报告的“注册会计师对财务报表审计的责任”部分进一步阐述了事务所在这些准则下的责任。按照中国注册会计师职业道德守则，独立于公司，并履行了职业道德方面的其他责任。事务所相信获取的审计证据是充分、适当的，为发表审计意见提供了基础。</w:t>
      </w:r>
    </w:p>
    <w:p w14:paraId="129C5F44">
      <w:pPr>
        <w:spacing w:line="600" w:lineRule="exact"/>
        <w:ind w:firstLine="643" w:firstLineChars="200"/>
        <w:rPr>
          <w:rFonts w:ascii="Times New Roman" w:hAnsi="Times New Roman" w:eastAsia="方正楷体简体" w:cs="Times New Roman"/>
          <w:b/>
          <w:bCs/>
          <w:kern w:val="44"/>
          <w:sz w:val="32"/>
          <w:szCs w:val="32"/>
        </w:rPr>
      </w:pPr>
      <w:r>
        <w:rPr>
          <w:rFonts w:hint="eastAsia" w:ascii="Times New Roman" w:hAnsi="Times New Roman" w:eastAsia="方正楷体简体" w:cs="Times New Roman"/>
          <w:b/>
          <w:bCs/>
          <w:kern w:val="44"/>
          <w:sz w:val="32"/>
          <w:szCs w:val="32"/>
          <w:highlight w:val="none"/>
        </w:rPr>
        <w:t>（三）</w:t>
      </w:r>
      <w:r>
        <w:rPr>
          <w:rFonts w:ascii="Times New Roman" w:hAnsi="Times New Roman" w:eastAsia="方正楷体简体" w:cs="Times New Roman"/>
          <w:b/>
          <w:bCs/>
          <w:kern w:val="44"/>
          <w:sz w:val="32"/>
          <w:szCs w:val="32"/>
          <w:highlight w:val="none"/>
        </w:rPr>
        <w:t>财务报表的编制基础</w:t>
      </w:r>
      <w:r>
        <w:rPr>
          <w:rFonts w:hint="eastAsia" w:ascii="Times New Roman" w:hAnsi="Times New Roman" w:eastAsia="方正楷体简体" w:cs="Times New Roman"/>
          <w:b/>
          <w:bCs/>
          <w:kern w:val="44"/>
          <w:sz w:val="32"/>
          <w:szCs w:val="32"/>
          <w:highlight w:val="none"/>
        </w:rPr>
        <w:t>。</w:t>
      </w:r>
      <w:r>
        <w:rPr>
          <w:rFonts w:ascii="Times New Roman" w:hAnsi="Times New Roman" w:eastAsia="方正仿宋简体" w:cs="Times New Roman"/>
          <w:b/>
          <w:color w:val="000000"/>
          <w:sz w:val="32"/>
          <w:szCs w:val="32"/>
          <w:highlight w:val="none"/>
        </w:rPr>
        <w:t>公司财务报表以持续经营为编制基础，根据实际发生的交易和事项，按照财政部颁布的《企业会计准则》及相关规定，并基于以下所述重要会计政策、会计估计进行编制。</w:t>
      </w:r>
    </w:p>
    <w:p w14:paraId="6E8397E9">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3" w:firstLineChars="200"/>
        <w:textAlignment w:val="auto"/>
        <w:rPr>
          <w:rFonts w:hint="eastAsia" w:ascii="方正黑体简体" w:hAnsi="方正黑体简体" w:eastAsia="方正黑体简体" w:cs="方正黑体简体"/>
          <w:b/>
          <w:bCs/>
          <w:sz w:val="32"/>
          <w:szCs w:val="32"/>
          <w:highlight w:val="none"/>
          <w:lang w:eastAsia="zh-CN"/>
        </w:rPr>
      </w:pPr>
      <w:r>
        <w:rPr>
          <w:rFonts w:hint="eastAsia" w:ascii="方正黑体简体" w:hAnsi="方正黑体简体" w:eastAsia="方正黑体简体" w:cs="方正黑体简体"/>
          <w:b/>
          <w:bCs/>
          <w:sz w:val="32"/>
          <w:szCs w:val="32"/>
          <w:highlight w:val="none"/>
          <w:lang w:eastAsia="zh-CN"/>
        </w:rPr>
        <w:t>四、董事会报告摘要</w:t>
      </w:r>
    </w:p>
    <w:p w14:paraId="4EA33AD2">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ascii="Times New Roman" w:hAnsi="Times New Roman" w:eastAsia="方正楷体简体"/>
          <w:b/>
          <w:sz w:val="32"/>
          <w:szCs w:val="32"/>
        </w:rPr>
      </w:pPr>
      <w:r>
        <w:rPr>
          <w:rFonts w:ascii="Times New Roman" w:hAnsi="Times New Roman" w:eastAsia="方正楷体简体"/>
          <w:b/>
          <w:sz w:val="32"/>
          <w:szCs w:val="32"/>
        </w:rPr>
        <w:t>（一）公司发展战略与规划情况</w:t>
      </w:r>
    </w:p>
    <w:p w14:paraId="2C0260AB">
      <w:pPr>
        <w:adjustRightInd w:val="0"/>
        <w:snapToGrid w:val="0"/>
        <w:spacing w:line="600" w:lineRule="exact"/>
        <w:ind w:firstLine="643" w:firstLineChars="200"/>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rPr>
        <w:t>2024年，公司坚持以高质量发展为主体责任，聚焦主责主业，抢抓政策机遇，深化改革创新，通过持续优化产业结构、强化招商引资、推进重大项目建设等方式，进一步提升重点产业板块发展质量。在重点工程方面：崇德大道实现主线通车；济邹高速全力推进；兖郓高速顺利开工；成功中标莱赛尔配套污水处理厂项目；中国电子信创新兴产业基地项目借助标准化厂房“筑巢引凤”，吸引5家外来企业拎包入驻；厦门金龙曲阜零碳交通科技产业园主体工程已基本完工，研发中心正内部装修。在民生保障方面：提速曲阜陵城污水处理厂和新材料产业园中水脱盐项目建设；推进泗水水务项目重组整合；高质量完成市域内集中供热保障；建设启用“数字公用”智慧城市运营中心，开通96655公用产业服务热线，实现了供水、供气、供暖、排水、环卫业务“一窗通办”“一号共管”，显著提升了客户服务水平；围绕打造“康养新高地”，组建康养集团，打造智慧健康养老新业态。</w:t>
      </w:r>
    </w:p>
    <w:p w14:paraId="487303B9">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ascii="Times New Roman" w:hAnsi="Times New Roman" w:eastAsia="方正楷体简体"/>
          <w:b/>
          <w:sz w:val="32"/>
          <w:szCs w:val="32"/>
        </w:rPr>
      </w:pPr>
      <w:r>
        <w:rPr>
          <w:rFonts w:ascii="Times New Roman" w:hAnsi="Times New Roman" w:eastAsia="方正楷体简体"/>
          <w:b/>
          <w:sz w:val="32"/>
          <w:szCs w:val="32"/>
        </w:rPr>
        <w:t>（</w:t>
      </w:r>
      <w:r>
        <w:rPr>
          <w:rFonts w:hint="eastAsia" w:ascii="Times New Roman" w:hAnsi="Times New Roman" w:eastAsia="方正楷体简体"/>
          <w:b/>
          <w:sz w:val="32"/>
          <w:szCs w:val="32"/>
          <w:lang w:eastAsia="zh-CN"/>
        </w:rPr>
        <w:t>二</w:t>
      </w:r>
      <w:r>
        <w:rPr>
          <w:rFonts w:ascii="Times New Roman" w:hAnsi="Times New Roman" w:eastAsia="方正楷体简体"/>
          <w:b/>
          <w:sz w:val="32"/>
          <w:szCs w:val="32"/>
        </w:rPr>
        <w:t>）企业核心竞争力培育和提升情况</w:t>
      </w:r>
    </w:p>
    <w:p w14:paraId="67298766">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eastAsia="zh-CN"/>
        </w:rPr>
        <w:t>1.科技创新情况。2024年科研投入费用1.50亿元，同比增长20.20%；重点装备制造业企业济宁金水科技有限公司研发强度4.15%，浙江商达公用集团有限公司研发强度5.61%；获批专利155项，国家级和省级科技奖5项，省级技术创新项目11项，开展技术交易31项，参与制定地方、团体及企业标准64项；获批山东省第二批数字经济晨星工厂入库企业1户、省级专精特新企业2户、省级瞪羚企业、省级创新型中小企业及省级科技型中小企业各1户；开展实施“数字公用项目”建设，推动供热、供水等传统产业型升级，实现生产调度、管网监控、地理信息技术等一体化智能管理，为生产运营提供支撑。</w:t>
      </w:r>
    </w:p>
    <w:p w14:paraId="098CB528">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eastAsia="zh-CN"/>
        </w:rPr>
        <w:t>2.服务民生情况。以深化“放管服”改革为主线，以“对标行业标杆、争创服务最优”为目标，聚焦供水、供气、供热等民生领域，围绕优化营商环境、创新服务模式、提升品牌价值三大维度，全面推进“民生公用”市场经营策略落地，在服务效能、用户满意度及市场影响力等方面取得显著成效。实施“水务移动营业厅”及“水电气暖联合报装”改革，推出“一窗受理、一表申请、并联审批”服务模式，构建“一站式”民生服务生态，经验做法被山东省住房和城乡建设厅发文全省推广；坚持“点滴送真情，清泉润万家”的服务理念，大力开展供水优质服务提升和“点滴情”服务品牌创建；以“好温暖”强化供热技术保障，以“暖一城”深化供热服务内涵，开展“访民问暖”专项行动，实现供热品牌“双暖驱动”；2024年各类诉求办结率100%，有效提升了品牌知名度和市场影响力，区域公用服务龙头地位进一步巩固。</w:t>
      </w:r>
    </w:p>
    <w:p w14:paraId="1F15B01A">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eastAsia="zh-CN"/>
        </w:rPr>
        <w:t>3.干部队伍建设情况。积极开展干部试用期满考核、聘期满考核工作，部分权属公司按照方案进行了干部调整工作，干部人才队伍向年轻化、高学历化转变。积极加大人才招引力度，采用集中培训、下派驻村、省四进派驻等各种途径，进一步加强人才选育用留工作。</w:t>
      </w:r>
    </w:p>
    <w:p w14:paraId="6BD3A89F">
      <w:pPr>
        <w:keepNext w:val="0"/>
        <w:keepLines w:val="0"/>
        <w:pageBreakBefore w:val="0"/>
        <w:widowControl w:val="0"/>
        <w:kinsoku/>
        <w:wordWrap/>
        <w:topLinePunct w:val="0"/>
        <w:autoSpaceDE w:val="0"/>
        <w:autoSpaceDN w:val="0"/>
        <w:bidi w:val="0"/>
        <w:spacing w:line="600" w:lineRule="exact"/>
        <w:ind w:firstLine="630" w:firstLineChars="196"/>
        <w:textAlignment w:val="auto"/>
        <w:rPr>
          <w:rFonts w:hint="eastAsia" w:ascii="方正楷体简体" w:hAnsi="方正楷体简体" w:eastAsia="方正楷体简体" w:cs="方正楷体简体"/>
          <w:b/>
          <w:sz w:val="32"/>
          <w:szCs w:val="32"/>
        </w:rPr>
      </w:pPr>
      <w:r>
        <w:rPr>
          <w:rFonts w:hint="eastAsia" w:ascii="方正楷体简体" w:hAnsi="方正楷体简体" w:eastAsia="方正楷体简体" w:cs="方正楷体简体"/>
          <w:b/>
          <w:sz w:val="32"/>
          <w:szCs w:val="32"/>
          <w:lang w:eastAsia="zh-CN"/>
        </w:rPr>
        <w:t>（</w:t>
      </w:r>
      <w:r>
        <w:rPr>
          <w:rFonts w:hint="eastAsia" w:ascii="方正楷体简体" w:hAnsi="方正楷体简体" w:eastAsia="方正楷体简体" w:cs="方正楷体简体"/>
          <w:b/>
          <w:sz w:val="32"/>
          <w:szCs w:val="32"/>
          <w:lang w:val="en-US" w:eastAsia="zh-CN"/>
        </w:rPr>
        <w:t>三</w:t>
      </w:r>
      <w:r>
        <w:rPr>
          <w:rFonts w:hint="eastAsia" w:ascii="方正楷体简体" w:hAnsi="方正楷体简体" w:eastAsia="方正楷体简体" w:cs="方正楷体简体"/>
          <w:b/>
          <w:sz w:val="32"/>
          <w:szCs w:val="32"/>
          <w:lang w:eastAsia="zh-CN"/>
        </w:rPr>
        <w:t>）</w:t>
      </w:r>
      <w:r>
        <w:rPr>
          <w:rFonts w:hint="eastAsia" w:ascii="方正楷体简体" w:hAnsi="方正楷体简体" w:eastAsia="方正楷体简体" w:cs="方正楷体简体"/>
          <w:b/>
          <w:sz w:val="32"/>
          <w:szCs w:val="32"/>
        </w:rPr>
        <w:t>公司改革重组和内部管理情况</w:t>
      </w:r>
    </w:p>
    <w:p w14:paraId="07CB33F5">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val="en-US" w:eastAsia="zh-CN"/>
        </w:rPr>
        <w:t>1.</w:t>
      </w:r>
      <w:r>
        <w:rPr>
          <w:rFonts w:hint="eastAsia" w:ascii="Times New Roman" w:hAnsi="Times New Roman" w:eastAsia="方正仿宋简体"/>
          <w:b/>
          <w:bCs/>
          <w:sz w:val="32"/>
          <w:szCs w:val="32"/>
          <w:lang w:eastAsia="zh-CN"/>
        </w:rPr>
        <w:t>深化国企改革情况。聚焦高质量转型发展、高效能企业治理、高水平风险防控，深入实施国企改革深化提升行动，有力推动各项改革任务落地见效。截至2024年底，统筹推进的73项改革任务整体完成率超过80%，多项关键指标超额完成，为打造国内一流城乡综合服务商注入强劲动能。济宁金水科技有限公司获得国务院国资委“科改企业”年度专项评估“优秀”等级。</w:t>
      </w:r>
    </w:p>
    <w:p w14:paraId="1016336A">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val="en-US" w:eastAsia="zh-CN"/>
        </w:rPr>
        <w:t>2.</w:t>
      </w:r>
      <w:r>
        <w:rPr>
          <w:rFonts w:hint="eastAsia" w:ascii="Times New Roman" w:hAnsi="Times New Roman" w:eastAsia="方正仿宋简体"/>
          <w:b/>
          <w:bCs/>
          <w:sz w:val="32"/>
          <w:szCs w:val="32"/>
          <w:lang w:eastAsia="zh-CN"/>
        </w:rPr>
        <w:t>国有产权变动情况。2024年度，山东公用权属产业拓展情况与上年波动不大，新设企业16户，变动企业50次，内部股权收购11次、无偿划转12次、增资3次、减资2次、指标修正2次、新设企业14次、合并1次、基础信息变更4次、注销企业1户。</w:t>
      </w:r>
    </w:p>
    <w:p w14:paraId="0CF75E95">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val="en-US" w:eastAsia="zh-CN"/>
        </w:rPr>
        <w:t>3.</w:t>
      </w:r>
      <w:r>
        <w:rPr>
          <w:rFonts w:hint="eastAsia" w:ascii="Times New Roman" w:hAnsi="Times New Roman" w:eastAsia="方正仿宋简体"/>
          <w:b/>
          <w:bCs/>
          <w:sz w:val="32"/>
          <w:szCs w:val="32"/>
          <w:lang w:eastAsia="zh-CN"/>
        </w:rPr>
        <w:t>公司制度建设及管理效能情况。紧密结合山东公用发展定位、业务流程及战略目标，根据国家、省、市最新法规政策和市国资委相关要求，围绕完善公司治理结构、强化内部管控等方面的工作，对《山东公用控股有限公司往来款项管理办法》《山东公用控股有限公司财务总监管理办法》等管理办法进行了修订完善，制定印发了《山东公用控股有限公司债券发行管理办法（试行）》《山东公用控股有限公司董事会授权管理办法》等。2024年，公司共出台印发了规章制度8项，严密了制度管控体系，推进了现代企业制度建设。</w:t>
      </w:r>
    </w:p>
    <w:p w14:paraId="5B2AC245">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val="en-US" w:eastAsia="zh-CN"/>
        </w:rPr>
        <w:t>4.</w:t>
      </w:r>
      <w:r>
        <w:rPr>
          <w:rFonts w:hint="eastAsia" w:ascii="Times New Roman" w:hAnsi="Times New Roman" w:eastAsia="方正仿宋简体"/>
          <w:b/>
          <w:bCs/>
          <w:sz w:val="32"/>
          <w:szCs w:val="32"/>
          <w:lang w:eastAsia="zh-CN"/>
        </w:rPr>
        <w:t>企业全面风险管理或内部控制体系建设情况。强化合规管理组织领导，成立合规管理委员会，建立合规管理员制度，进一步完善合规管理工作体系；聚焦国资监管规定及合规管理重点领域，建立了8项具体的专门合规管理办法；建立定期合规自查工作机制，并与季度、年度考核挂钩，促进合规管理工作落地落实。深入推动合规管理与内部审计融合发展，聘请中介机构对135家权属公司开展全覆盖合规性审计，并出具了合规性审计报告。</w:t>
      </w:r>
    </w:p>
    <w:p w14:paraId="3951126F">
      <w:pPr>
        <w:spacing w:line="600" w:lineRule="exact"/>
        <w:ind w:firstLine="643" w:firstLineChars="200"/>
        <w:rPr>
          <w:rFonts w:hint="eastAsia" w:ascii="方正楷体简体" w:hAnsi="方正楷体简体" w:eastAsia="方正楷体简体" w:cs="方正楷体简体"/>
          <w:b/>
          <w:sz w:val="32"/>
          <w:szCs w:val="32"/>
        </w:rPr>
      </w:pPr>
      <w:r>
        <w:rPr>
          <w:rFonts w:hint="eastAsia" w:ascii="方正楷体简体" w:hAnsi="方正楷体简体" w:eastAsia="方正楷体简体" w:cs="方正楷体简体"/>
          <w:b/>
          <w:sz w:val="32"/>
          <w:szCs w:val="32"/>
        </w:rPr>
        <w:t>（</w:t>
      </w:r>
      <w:r>
        <w:rPr>
          <w:rFonts w:hint="eastAsia" w:ascii="方正楷体简体" w:hAnsi="方正楷体简体" w:eastAsia="方正楷体简体" w:cs="方正楷体简体"/>
          <w:b/>
          <w:sz w:val="32"/>
          <w:szCs w:val="32"/>
          <w:lang w:val="en-US" w:eastAsia="zh-CN"/>
        </w:rPr>
        <w:t>四</w:t>
      </w:r>
      <w:r>
        <w:rPr>
          <w:rFonts w:hint="eastAsia" w:ascii="方正楷体简体" w:hAnsi="方正楷体简体" w:eastAsia="方正楷体简体" w:cs="方正楷体简体"/>
          <w:b/>
          <w:sz w:val="32"/>
          <w:szCs w:val="32"/>
        </w:rPr>
        <w:t>）企业劳动、人事、分配制度改革及执行情况</w:t>
      </w:r>
    </w:p>
    <w:p w14:paraId="60457AE3">
      <w:pPr>
        <w:keepNext w:val="0"/>
        <w:keepLines w:val="0"/>
        <w:pageBreakBefore w:val="0"/>
        <w:widowControl w:val="0"/>
        <w:kinsoku/>
        <w:wordWrap/>
        <w:topLinePunct w:val="0"/>
        <w:autoSpaceDE w:val="0"/>
        <w:autoSpaceDN w:val="0"/>
        <w:bidi w:val="0"/>
        <w:adjustRightInd w:val="0"/>
        <w:snapToGrid w:val="0"/>
        <w:spacing w:line="600" w:lineRule="exact"/>
        <w:ind w:firstLine="643" w:firstLineChars="200"/>
        <w:textAlignment w:val="auto"/>
        <w:rPr>
          <w:rFonts w:hint="eastAsia" w:ascii="Times New Roman" w:hAnsi="Times New Roman" w:eastAsia="方正仿宋简体"/>
          <w:b/>
          <w:bCs/>
          <w:sz w:val="32"/>
          <w:szCs w:val="32"/>
          <w:lang w:eastAsia="zh-CN"/>
        </w:rPr>
      </w:pPr>
      <w:r>
        <w:rPr>
          <w:rFonts w:hint="eastAsia" w:ascii="Times New Roman" w:hAnsi="Times New Roman" w:eastAsia="方正仿宋简体"/>
          <w:b/>
          <w:bCs/>
          <w:sz w:val="32"/>
          <w:szCs w:val="32"/>
          <w:lang w:eastAsia="zh-CN"/>
        </w:rPr>
        <w:t>持续推进三项制度改革相关工作，大力实施经理层成员任期制和契约化管理，纳入深化国企改革的76户权属公司，已全部实施经理层成员任期制和契约化管理，各权属公司经理层做到应签尽签。健全管理人员监督体系，完善管理人员考核评价机制，按照公开公平、竞争择优的原则，积极开展管理人员竞争上岗工作，逐步建立人员能进能出、能上能下、能增能减的劳动、人事和分配制度管理体系。参照经理层契约化管理模式，对中层管理人员推行契约化管理，签订《岗位聘任协议》和《目标责任书》，明确岗位职责、目标及考核标准，强化责任与激励机制，增强了管理规范化，提升了管理效率。</w:t>
      </w:r>
    </w:p>
    <w:p w14:paraId="6C8592F6">
      <w:pPr>
        <w:spacing w:line="600" w:lineRule="exact"/>
        <w:ind w:firstLine="643" w:firstLineChars="200"/>
        <w:rPr>
          <w:rFonts w:hint="eastAsia" w:ascii="方正楷体简体" w:hAnsi="方正楷体简体" w:eastAsia="方正楷体简体" w:cs="方正楷体简体"/>
          <w:b/>
          <w:sz w:val="32"/>
          <w:szCs w:val="32"/>
        </w:rPr>
      </w:pPr>
      <w:r>
        <w:rPr>
          <w:rFonts w:hint="eastAsia" w:ascii="方正楷体简体" w:hAnsi="方正楷体简体" w:eastAsia="方正楷体简体" w:cs="方正楷体简体"/>
          <w:b/>
          <w:sz w:val="32"/>
          <w:szCs w:val="32"/>
        </w:rPr>
        <w:t>（</w:t>
      </w:r>
      <w:r>
        <w:rPr>
          <w:rFonts w:hint="eastAsia" w:ascii="方正楷体简体" w:hAnsi="方正楷体简体" w:eastAsia="方正楷体简体" w:cs="方正楷体简体"/>
          <w:b/>
          <w:sz w:val="32"/>
          <w:szCs w:val="32"/>
          <w:lang w:val="en-US" w:eastAsia="zh-CN"/>
        </w:rPr>
        <w:t>五</w:t>
      </w:r>
      <w:r>
        <w:rPr>
          <w:rFonts w:hint="eastAsia" w:ascii="方正楷体简体" w:hAnsi="方正楷体简体" w:eastAsia="方正楷体简体" w:cs="方正楷体简体"/>
          <w:b/>
          <w:sz w:val="32"/>
          <w:szCs w:val="32"/>
        </w:rPr>
        <w:t>）企业人力资源管理及公开招聘情况</w:t>
      </w:r>
    </w:p>
    <w:p w14:paraId="675E096D">
      <w:pPr>
        <w:adjustRightInd w:val="0"/>
        <w:snapToGrid w:val="0"/>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1.2024年，公司根据内部人才需求，制定劳动用工计划，经市国资委批复，公司按计划开展招聘工作，通过参加人社局组织的招聘活动、校园招聘方式，多渠道吸收各类人才。本年度共组织参加招聘活动10场次，收到</w:t>
      </w:r>
      <w:r>
        <w:rPr>
          <w:rFonts w:hint="eastAsia" w:ascii="Times New Roman" w:hAnsi="Times New Roman" w:eastAsia="方正仿宋简体" w:cs="Times New Roman"/>
          <w:b/>
          <w:bCs/>
          <w:sz w:val="32"/>
          <w:szCs w:val="32"/>
          <w:lang w:val="en-US" w:eastAsia="zh-CN"/>
        </w:rPr>
        <w:t>合格</w:t>
      </w:r>
      <w:r>
        <w:rPr>
          <w:rFonts w:hint="default" w:ascii="Times New Roman" w:hAnsi="Times New Roman" w:eastAsia="方正仿宋简体" w:cs="Times New Roman"/>
          <w:b/>
          <w:bCs/>
          <w:sz w:val="32"/>
          <w:szCs w:val="32"/>
        </w:rPr>
        <w:t>简历300余份，经过严格筛选，成功招聘新员工74名，其中硕士研究生27人、本科生47人。</w:t>
      </w:r>
    </w:p>
    <w:p w14:paraId="7DF689EB">
      <w:pPr>
        <w:adjustRightInd w:val="0"/>
        <w:snapToGrid w:val="0"/>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2.2024年，进一步优化公司培训体系，制定分层分类的培训计划，针对不同层级员工，有效制定培训课程。共开展两期新员工入职培训，开展“合规大讲堂”系列培训，并组织干部人才专项培训两期</w:t>
      </w:r>
      <w:r>
        <w:rPr>
          <w:rFonts w:hint="eastAsia"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rPr>
        <w:t>5月在中国海洋大学举行“启航计划”专题培训班第一期，10月在山东师范大学开展“启航计划”专题培训班第二期，累计培训人数达到70余人，培训内容契合企业业务特点，贴合工作实际。</w:t>
      </w:r>
    </w:p>
    <w:p w14:paraId="52553B19">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hint="eastAsia" w:ascii="方正楷体简体" w:hAnsi="方正楷体简体" w:eastAsia="方正楷体简体" w:cs="方正楷体简体"/>
          <w:b/>
          <w:sz w:val="32"/>
          <w:szCs w:val="32"/>
          <w:lang w:val="en-US" w:eastAsia="zh-CN"/>
        </w:rPr>
      </w:pPr>
      <w:r>
        <w:rPr>
          <w:rFonts w:hint="eastAsia" w:ascii="方正楷体简体" w:hAnsi="方正楷体简体" w:eastAsia="方正楷体简体" w:cs="方正楷体简体"/>
          <w:b/>
          <w:sz w:val="32"/>
          <w:szCs w:val="32"/>
          <w:lang w:val="en-US" w:eastAsia="zh-CN"/>
        </w:rPr>
        <w:t>（六）重大投资情况</w:t>
      </w:r>
    </w:p>
    <w:p w14:paraId="24952527">
      <w:pPr>
        <w:adjustRightInd w:val="0"/>
        <w:snapToGrid w:val="0"/>
        <w:spacing w:line="600" w:lineRule="exact"/>
        <w:ind w:firstLine="643" w:firstLineChars="200"/>
        <w:rPr>
          <w:rFonts w:hint="eastAsia" w:ascii="Times New Roman" w:hAnsi="Times New Roman" w:eastAsia="方正仿宋简体" w:cs="Times New Roman"/>
          <w:b/>
          <w:sz w:val="32"/>
          <w:szCs w:val="32"/>
          <w:lang w:val="en-US" w:eastAsia="zh-CN"/>
        </w:rPr>
      </w:pPr>
      <w:r>
        <w:rPr>
          <w:rFonts w:hint="eastAsia" w:ascii="Times New Roman" w:hAnsi="Times New Roman" w:eastAsia="方正仿宋简体" w:cs="Times New Roman"/>
          <w:b/>
          <w:sz w:val="32"/>
          <w:szCs w:val="32"/>
          <w:lang w:val="en-US" w:eastAsia="zh-CN"/>
        </w:rPr>
        <w:t>2024年度实际完成投资45.07亿元，计划完成率49.85%，其中固定资产投资实际完成投资40.97亿元，计划完成率51.61%；长期股权投资实际完成投资4.11亿元，计划完成率37.23%。从投资领域方面分析，主业完成投资43.27亿元，占全年投资额的96.01%；拟培育主业完成投资1.74亿元，占全年投资额的3.86%；战略性新兴产业完成投资7.51亿元，占全年投资额的16.66%；基础设施领域完成投资35.66亿元，占全年投资额的79.12%。重点投资项目主要有济邹高速项目、引黄西线项目、汶上化工产业园污水处理工程项目、嘉祥县嘉北新区污水处理厂及配套工程项目等。</w:t>
      </w:r>
    </w:p>
    <w:p w14:paraId="1DC12FCC">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hint="eastAsia" w:ascii="方正楷体简体" w:hAnsi="方正楷体简体" w:eastAsia="方正楷体简体" w:cs="方正楷体简体"/>
          <w:b/>
          <w:sz w:val="32"/>
          <w:szCs w:val="32"/>
          <w:lang w:val="en-US" w:eastAsia="zh-CN"/>
        </w:rPr>
      </w:pPr>
      <w:r>
        <w:rPr>
          <w:rFonts w:hint="eastAsia" w:ascii="方正楷体简体" w:hAnsi="方正楷体简体" w:eastAsia="方正楷体简体" w:cs="方正楷体简体"/>
          <w:b/>
          <w:sz w:val="32"/>
          <w:szCs w:val="32"/>
          <w:lang w:val="en-US" w:eastAsia="zh-CN"/>
        </w:rPr>
        <w:t>（七）薪酬分配情况及经营业绩考核事项</w:t>
      </w:r>
    </w:p>
    <w:p w14:paraId="45637AC5">
      <w:pPr>
        <w:adjustRightInd w:val="0"/>
        <w:snapToGrid w:val="0"/>
        <w:spacing w:line="600" w:lineRule="exact"/>
        <w:ind w:firstLine="643" w:firstLineChars="200"/>
        <w:rPr>
          <w:rFonts w:hint="eastAsia" w:ascii="Times New Roman" w:hAnsi="Times New Roman" w:eastAsia="方正仿宋简体" w:cs="Times New Roman"/>
          <w:b/>
          <w:sz w:val="32"/>
          <w:szCs w:val="32"/>
          <w:lang w:val="en-US" w:eastAsia="zh-CN"/>
        </w:rPr>
      </w:pPr>
      <w:r>
        <w:rPr>
          <w:rFonts w:hint="eastAsia" w:ascii="Times New Roman" w:hAnsi="Times New Roman" w:eastAsia="方正仿宋简体" w:cs="Times New Roman"/>
          <w:b/>
          <w:sz w:val="32"/>
          <w:szCs w:val="32"/>
          <w:lang w:val="en-US" w:eastAsia="zh-CN"/>
        </w:rPr>
        <w:t>1.高管人员薪酬分配情况。根据注重业绩、按劳分配、兼顾公平及可持续发展的原则，严格按照市国资委批复的年度薪酬分配方案，对高管人员合理发放薪酬，无违反企业负责人薪酬管理相关规定和标准的情况。按照《山东公用控股有限公司权属企业负责人薪酬管理办法》规定，根据企业功能性质定位、所在行业以及企业经营情况设置绩效年薪调节系数，健全权属企业负责人薪酬分配的激励与约束机制，同时严格按照《关于公布2023年度市管企业负责人基本年薪基数的通知》要求，在核定权属企业负责人薪酬时，本企业经济效益下降的，绩效年薪原则上不得增长。</w:t>
      </w:r>
    </w:p>
    <w:p w14:paraId="3B856061">
      <w:pPr>
        <w:adjustRightInd w:val="0"/>
        <w:snapToGrid w:val="0"/>
        <w:spacing w:line="600" w:lineRule="exact"/>
        <w:ind w:firstLine="643" w:firstLineChars="200"/>
        <w:rPr>
          <w:rFonts w:hint="eastAsia" w:ascii="Times New Roman" w:hAnsi="Times New Roman" w:eastAsia="方正仿宋简体" w:cs="Times New Roman"/>
          <w:b/>
          <w:sz w:val="32"/>
          <w:szCs w:val="32"/>
          <w:lang w:val="en-US" w:eastAsia="zh-CN"/>
        </w:rPr>
      </w:pPr>
      <w:r>
        <w:rPr>
          <w:rFonts w:hint="eastAsia" w:ascii="Times New Roman" w:hAnsi="Times New Roman" w:eastAsia="方正仿宋简体" w:cs="Times New Roman"/>
          <w:b/>
          <w:sz w:val="32"/>
          <w:szCs w:val="32"/>
          <w:lang w:val="en-US" w:eastAsia="zh-CN"/>
        </w:rPr>
        <w:t>2.经营业绩考核事项。一是始终将绩效考核的科学性与合理性作为提升企业活力的关键，全面实行绩效考核管理工作，建立以绩效为导向的薪酬管理体系。将员工及经理层的个人能力、岗位职责与绩效、薪酬有机结合，强化员工、经理层担当作为的精神，进而提升员工与企业利益共同体意识，保障公司有序稳定发展。二是对各权属公司负责人实行年度考核与任期考核相衔接、绩效考核与重点工作任务及党建考核相统一、经营业绩考核结果与奖惩相挂钩的差异化分类考核，科学设置各项指标及指标值。其他负责人的年度考核由其分管领域的考核结果和民主评议两部分组成。并根据考核结果，核算兑现2023年度绩效薪酬。</w:t>
      </w:r>
    </w:p>
    <w:p w14:paraId="4F16AE21">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hint="eastAsia" w:ascii="方正楷体简体" w:hAnsi="方正楷体简体" w:eastAsia="方正楷体简体" w:cs="方正楷体简体"/>
          <w:b/>
          <w:sz w:val="32"/>
          <w:szCs w:val="32"/>
          <w:lang w:val="en-US" w:eastAsia="zh-CN"/>
        </w:rPr>
      </w:pPr>
      <w:r>
        <w:rPr>
          <w:rFonts w:hint="eastAsia" w:ascii="方正楷体简体" w:hAnsi="方正楷体简体" w:eastAsia="方正楷体简体" w:cs="方正楷体简体"/>
          <w:b/>
          <w:sz w:val="32"/>
          <w:szCs w:val="32"/>
          <w:lang w:val="en-US" w:eastAsia="zh-CN"/>
        </w:rPr>
        <w:t>（八）企业负责人履职待遇业务支出执行情况</w:t>
      </w:r>
    </w:p>
    <w:p w14:paraId="11B587FA">
      <w:pPr>
        <w:adjustRightInd w:val="0"/>
        <w:snapToGrid w:val="0"/>
        <w:spacing w:line="600" w:lineRule="exact"/>
        <w:ind w:firstLine="643" w:firstLineChars="200"/>
        <w:rPr>
          <w:rFonts w:hint="eastAsia" w:ascii="Times New Roman" w:hAnsi="Times New Roman" w:eastAsia="方正仿宋简体" w:cs="Times New Roman"/>
          <w:b/>
          <w:sz w:val="32"/>
          <w:szCs w:val="32"/>
          <w:lang w:val="en-US" w:eastAsia="zh-CN"/>
        </w:rPr>
      </w:pPr>
      <w:r>
        <w:rPr>
          <w:rFonts w:hint="eastAsia" w:ascii="Times New Roman" w:hAnsi="Times New Roman" w:eastAsia="方正仿宋简体" w:cs="Times New Roman"/>
          <w:b/>
          <w:sz w:val="32"/>
          <w:szCs w:val="32"/>
          <w:lang w:val="en-US" w:eastAsia="zh-CN"/>
        </w:rPr>
        <w:t>1.公务用车方面。根据市属企业公务用车制度改革实施方案要求，公车配备严格按照我市《关于合理确定并严格规范市属企业负责人履职待遇、业务支出的意见》要求执行，公车配备符合标准。</w:t>
      </w:r>
    </w:p>
    <w:p w14:paraId="46935358">
      <w:pPr>
        <w:adjustRightInd w:val="0"/>
        <w:snapToGrid w:val="0"/>
        <w:spacing w:line="600" w:lineRule="exact"/>
        <w:ind w:firstLine="643" w:firstLineChars="200"/>
        <w:rPr>
          <w:rFonts w:hint="eastAsia" w:ascii="Times New Roman" w:hAnsi="Times New Roman" w:eastAsia="方正仿宋简体" w:cs="Times New Roman"/>
          <w:b/>
          <w:sz w:val="32"/>
          <w:szCs w:val="32"/>
          <w:lang w:val="en-US" w:eastAsia="zh-CN"/>
        </w:rPr>
      </w:pPr>
      <w:r>
        <w:rPr>
          <w:rFonts w:hint="eastAsia" w:ascii="Times New Roman" w:hAnsi="Times New Roman" w:eastAsia="方正仿宋简体" w:cs="Times New Roman"/>
          <w:b/>
          <w:sz w:val="32"/>
          <w:szCs w:val="32"/>
          <w:lang w:val="en-US" w:eastAsia="zh-CN"/>
        </w:rPr>
        <w:t>2.业务招待方面。领导人员公务接待实行集中管理，各项费用报销均符合有关规定，并留存明细以备核查。不存在向各级子企业转嫁业务招待费用、报销因私招待费用和个人消费费用、将业务招待费用以会议、培训、调研等费用名义虚列、隐匿等现象。</w:t>
      </w:r>
    </w:p>
    <w:p w14:paraId="1118F0FA">
      <w:pPr>
        <w:adjustRightInd w:val="0"/>
        <w:snapToGrid w:val="0"/>
        <w:spacing w:line="600" w:lineRule="exact"/>
        <w:ind w:firstLine="643" w:firstLineChars="200"/>
        <w:rPr>
          <w:rFonts w:hint="eastAsia" w:ascii="Times New Roman" w:hAnsi="Times New Roman" w:eastAsia="方正仿宋简体" w:cs="Times New Roman"/>
          <w:b/>
          <w:sz w:val="32"/>
          <w:szCs w:val="32"/>
          <w:lang w:val="en-US" w:eastAsia="zh-CN"/>
        </w:rPr>
      </w:pPr>
      <w:r>
        <w:rPr>
          <w:rFonts w:hint="eastAsia" w:ascii="Times New Roman" w:hAnsi="Times New Roman" w:eastAsia="方正仿宋简体" w:cs="Times New Roman"/>
          <w:b/>
          <w:sz w:val="32"/>
          <w:szCs w:val="32"/>
          <w:lang w:val="en-US" w:eastAsia="zh-CN"/>
        </w:rPr>
        <w:t>3.通讯费方面。领导人员通讯费报销均履行规定，不存在同时采用报销和发放补贴的费用报销形式。</w:t>
      </w:r>
    </w:p>
    <w:p w14:paraId="49BE361C">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eastAsia="zh-CN"/>
        </w:rPr>
        <w:t>五</w:t>
      </w:r>
      <w:r>
        <w:rPr>
          <w:rFonts w:hint="eastAsia" w:ascii="方正黑体简体" w:hAnsi="方正黑体简体" w:eastAsia="方正黑体简体" w:cs="方正黑体简体"/>
          <w:b/>
          <w:sz w:val="32"/>
          <w:szCs w:val="32"/>
          <w:lang w:val="en-US"/>
        </w:rPr>
        <w:t>、</w:t>
      </w:r>
      <w:r>
        <w:rPr>
          <w:rFonts w:hint="eastAsia" w:ascii="方正黑体简体" w:hAnsi="方正黑体简体" w:eastAsia="方正黑体简体" w:cs="方正黑体简体"/>
          <w:b/>
          <w:sz w:val="32"/>
          <w:szCs w:val="32"/>
          <w:lang w:val="en-US" w:eastAsia="zh-CN"/>
        </w:rPr>
        <w:t>年</w:t>
      </w:r>
      <w:r>
        <w:rPr>
          <w:rFonts w:hint="eastAsia" w:ascii="方正黑体简体" w:hAnsi="方正黑体简体" w:eastAsia="方正黑体简体" w:cs="方正黑体简体"/>
          <w:b/>
          <w:sz w:val="32"/>
          <w:szCs w:val="32"/>
          <w:lang w:val="en-US"/>
        </w:rPr>
        <w:t>度内重大事项及对企业的影响</w:t>
      </w:r>
    </w:p>
    <w:p w14:paraId="352F259F">
      <w:pPr>
        <w:keepNext w:val="0"/>
        <w:keepLines w:val="0"/>
        <w:pageBreakBefore w:val="0"/>
        <w:widowControl w:val="0"/>
        <w:kinsoku/>
        <w:wordWrap/>
        <w:topLinePunct w:val="0"/>
        <w:autoSpaceDE w:val="0"/>
        <w:autoSpaceDN w:val="0"/>
        <w:bidi w:val="0"/>
        <w:spacing w:line="600" w:lineRule="exact"/>
        <w:ind w:firstLine="643" w:firstLineChars="200"/>
        <w:textAlignment w:val="auto"/>
        <w:rPr>
          <w:rFonts w:hint="eastAsia" w:ascii="方正仿宋简体" w:hAnsi="方正仿宋简体" w:eastAsia="方正仿宋简体" w:cs="方正仿宋简体"/>
          <w:b/>
          <w:bCs/>
          <w:sz w:val="32"/>
          <w:szCs w:val="32"/>
          <w:lang w:val="en-US"/>
        </w:rPr>
      </w:pPr>
      <w:r>
        <w:rPr>
          <w:rFonts w:hint="eastAsia" w:ascii="方正仿宋简体" w:hAnsi="方正仿宋简体" w:eastAsia="方正仿宋简体" w:cs="方正仿宋简体"/>
          <w:b/>
          <w:bCs/>
          <w:sz w:val="32"/>
          <w:szCs w:val="32"/>
          <w:lang w:val="en-US"/>
        </w:rPr>
        <w:t>无。</w:t>
      </w:r>
    </w:p>
    <w:sectPr>
      <w:pgSz w:w="11906" w:h="16838"/>
      <w:pgMar w:top="1984" w:right="1474"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kN2I4NDU0ZTQ2OWYwZWMxMzFlNjJlZTY3MDVmZTYifQ=="/>
  </w:docVars>
  <w:rsids>
    <w:rsidRoot w:val="00AB01EA"/>
    <w:rsid w:val="00015A87"/>
    <w:rsid w:val="000168AA"/>
    <w:rsid w:val="00151E71"/>
    <w:rsid w:val="002135C1"/>
    <w:rsid w:val="00271CDE"/>
    <w:rsid w:val="00300466"/>
    <w:rsid w:val="003152D1"/>
    <w:rsid w:val="004055A1"/>
    <w:rsid w:val="00474979"/>
    <w:rsid w:val="004D1F6D"/>
    <w:rsid w:val="005571EB"/>
    <w:rsid w:val="005A15E0"/>
    <w:rsid w:val="00667382"/>
    <w:rsid w:val="006928AD"/>
    <w:rsid w:val="00693743"/>
    <w:rsid w:val="006B7A98"/>
    <w:rsid w:val="00702DC4"/>
    <w:rsid w:val="00710A95"/>
    <w:rsid w:val="007209DF"/>
    <w:rsid w:val="007A0DD0"/>
    <w:rsid w:val="007A5A03"/>
    <w:rsid w:val="007A7033"/>
    <w:rsid w:val="007E6DD0"/>
    <w:rsid w:val="008001A9"/>
    <w:rsid w:val="00806BE9"/>
    <w:rsid w:val="008A74B2"/>
    <w:rsid w:val="0091505B"/>
    <w:rsid w:val="009C4B22"/>
    <w:rsid w:val="00A24713"/>
    <w:rsid w:val="00A26E02"/>
    <w:rsid w:val="00AA3DFD"/>
    <w:rsid w:val="00AB01EA"/>
    <w:rsid w:val="00AB3601"/>
    <w:rsid w:val="00AC59A2"/>
    <w:rsid w:val="00AD0180"/>
    <w:rsid w:val="00B078E2"/>
    <w:rsid w:val="00B15769"/>
    <w:rsid w:val="00B860E7"/>
    <w:rsid w:val="00BA25C7"/>
    <w:rsid w:val="00BD36F7"/>
    <w:rsid w:val="00BD7A30"/>
    <w:rsid w:val="00C27E86"/>
    <w:rsid w:val="00C82BDE"/>
    <w:rsid w:val="00CA3314"/>
    <w:rsid w:val="00CB4B86"/>
    <w:rsid w:val="00CC7327"/>
    <w:rsid w:val="00DE29BB"/>
    <w:rsid w:val="00E05E9E"/>
    <w:rsid w:val="00E82D5D"/>
    <w:rsid w:val="00E97D11"/>
    <w:rsid w:val="00EA367A"/>
    <w:rsid w:val="00EF29D3"/>
    <w:rsid w:val="00F21D3D"/>
    <w:rsid w:val="00F50061"/>
    <w:rsid w:val="00F75FEA"/>
    <w:rsid w:val="067740B1"/>
    <w:rsid w:val="0C1300BA"/>
    <w:rsid w:val="10BE55C1"/>
    <w:rsid w:val="11D529E3"/>
    <w:rsid w:val="12625718"/>
    <w:rsid w:val="127B4FFE"/>
    <w:rsid w:val="208262A6"/>
    <w:rsid w:val="20AA7F33"/>
    <w:rsid w:val="238B6554"/>
    <w:rsid w:val="2D8B4FDC"/>
    <w:rsid w:val="2E9539DE"/>
    <w:rsid w:val="32DA0AFB"/>
    <w:rsid w:val="342E2863"/>
    <w:rsid w:val="3BA57CE7"/>
    <w:rsid w:val="3C0545E8"/>
    <w:rsid w:val="3CF525F2"/>
    <w:rsid w:val="3EB218E1"/>
    <w:rsid w:val="3F812F19"/>
    <w:rsid w:val="40BD03D8"/>
    <w:rsid w:val="43BA24BF"/>
    <w:rsid w:val="46625A9C"/>
    <w:rsid w:val="54E11FC0"/>
    <w:rsid w:val="563D6669"/>
    <w:rsid w:val="5D195C77"/>
    <w:rsid w:val="5FA7504C"/>
    <w:rsid w:val="67645A80"/>
    <w:rsid w:val="67C52FC9"/>
    <w:rsid w:val="69B626EC"/>
    <w:rsid w:val="6ABC67DC"/>
    <w:rsid w:val="72AA54B5"/>
    <w:rsid w:val="76323B4E"/>
    <w:rsid w:val="77930F88"/>
    <w:rsid w:val="7CDD1E1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ind w:left="1000"/>
      <w:outlineLvl w:val="0"/>
    </w:pPr>
    <w:rPr>
      <w:rFonts w:ascii="Microsoft JhengHei" w:hAnsi="Microsoft JhengHei" w:eastAsia="Microsoft JhengHei" w:cs="Microsoft JhengHei"/>
      <w:b/>
      <w:bCs/>
      <w:sz w:val="30"/>
      <w:szCs w:val="30"/>
      <w:lang w:val="zh-CN" w:eastAsia="zh-CN" w:bidi="zh-CN"/>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4">
    <w:name w:val="Body Text"/>
    <w:basedOn w:val="1"/>
    <w:link w:val="11"/>
    <w:qFormat/>
    <w:uiPriority w:val="1"/>
    <w:rPr>
      <w:sz w:val="32"/>
      <w:szCs w:val="32"/>
    </w:rPr>
  </w:style>
  <w:style w:type="paragraph" w:styleId="5">
    <w:name w:val="footer"/>
    <w:basedOn w:val="1"/>
    <w:link w:val="14"/>
    <w:unhideWhenUsed/>
    <w:qFormat/>
    <w:uiPriority w:val="99"/>
    <w:pPr>
      <w:tabs>
        <w:tab w:val="center" w:pos="4153"/>
        <w:tab w:val="right" w:pos="8306"/>
      </w:tabs>
      <w:snapToGrid w:val="0"/>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customStyle="1" w:styleId="10">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1">
    <w:name w:val="正文文本 字符"/>
    <w:basedOn w:val="9"/>
    <w:link w:val="4"/>
    <w:qFormat/>
    <w:uiPriority w:val="1"/>
    <w:rPr>
      <w:rFonts w:ascii="宋体" w:hAnsi="宋体" w:eastAsia="宋体" w:cs="宋体"/>
      <w:kern w:val="0"/>
      <w:sz w:val="32"/>
      <w:szCs w:val="32"/>
      <w:lang w:val="zh-CN" w:bidi="zh-CN"/>
    </w:rPr>
  </w:style>
  <w:style w:type="paragraph" w:customStyle="1" w:styleId="12">
    <w:name w:val="Table Paragraph"/>
    <w:basedOn w:val="1"/>
    <w:qFormat/>
    <w:uiPriority w:val="1"/>
    <w:pPr>
      <w:spacing w:before="96"/>
      <w:jc w:val="right"/>
    </w:pPr>
    <w:rPr>
      <w:rFonts w:ascii="仿宋" w:hAnsi="仿宋" w:eastAsia="仿宋" w:cs="仿宋"/>
    </w:rPr>
  </w:style>
  <w:style w:type="character" w:customStyle="1" w:styleId="13">
    <w:name w:val="页眉 字符"/>
    <w:basedOn w:val="9"/>
    <w:link w:val="6"/>
    <w:qFormat/>
    <w:uiPriority w:val="99"/>
    <w:rPr>
      <w:rFonts w:ascii="宋体" w:hAnsi="宋体" w:cs="宋体"/>
      <w:sz w:val="18"/>
      <w:szCs w:val="18"/>
      <w:lang w:val="zh-CN" w:bidi="zh-CN"/>
    </w:rPr>
  </w:style>
  <w:style w:type="character" w:customStyle="1" w:styleId="14">
    <w:name w:val="页脚 字符"/>
    <w:basedOn w:val="9"/>
    <w:link w:val="5"/>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5174</Words>
  <Characters>5421</Characters>
  <Lines>10</Lines>
  <Paragraphs>2</Paragraphs>
  <TotalTime>3</TotalTime>
  <ScaleCrop>false</ScaleCrop>
  <LinksUpToDate>false</LinksUpToDate>
  <CharactersWithSpaces>5437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2023-04-27T01:47:00Z</dcterms:created>
  <dc:creator>lenovo</dc:creator>
  <cp:lastModifiedBy>Administrator</cp:lastModifiedBy>
  <cp:lastPrinted>2022-08-29T09:18:00Z</cp:lastPrinted>
  <dcterms:modified xsi:type="dcterms:W3CDTF">2025-06-30T13:43:10Z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95D2EED1362F4987BC7C8D6A9133346C_13</vt:lpwstr>
  </property>
</Properties>
</file>