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0062F4">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山东公用工程管理有限公司</w:t>
      </w:r>
    </w:p>
    <w:p w14:paraId="0C401B2B">
      <w:pPr>
        <w:spacing w:line="600" w:lineRule="exact"/>
        <w:jc w:val="center"/>
        <w:rPr>
          <w:rFonts w:ascii="Times New Roman" w:hAnsi="Times New Roman" w:eastAsia="方正黑体简体" w:cs="Times New Roman"/>
          <w:sz w:val="32"/>
          <w:szCs w:val="32"/>
        </w:rPr>
      </w:pPr>
      <w:r>
        <w:rPr>
          <w:rFonts w:ascii="Times New Roman" w:hAnsi="Times New Roman" w:eastAsia="方正小标宋简体" w:cs="Times New Roman"/>
          <w:sz w:val="44"/>
          <w:szCs w:val="44"/>
        </w:rPr>
        <w:t>202</w:t>
      </w:r>
      <w:r>
        <w:rPr>
          <w:rFonts w:hint="eastAsia" w:ascii="Times New Roman" w:hAnsi="Times New Roman" w:eastAsia="方正小标宋简体" w:cs="Times New Roman"/>
          <w:sz w:val="44"/>
          <w:szCs w:val="44"/>
        </w:rPr>
        <w:t>4</w:t>
      </w:r>
      <w:r>
        <w:rPr>
          <w:rFonts w:ascii="Times New Roman" w:hAnsi="Times New Roman" w:eastAsia="方正小标宋简体" w:cs="Times New Roman"/>
          <w:sz w:val="44"/>
          <w:szCs w:val="44"/>
        </w:rPr>
        <w:t>年度财务等重大信息</w:t>
      </w:r>
      <w:r>
        <w:rPr>
          <w:rFonts w:hint="eastAsia" w:ascii="Times New Roman" w:hAnsi="Times New Roman" w:eastAsia="方正小标宋简体" w:cs="Times New Roman"/>
          <w:sz w:val="44"/>
          <w:szCs w:val="44"/>
        </w:rPr>
        <w:t>公开</w:t>
      </w:r>
    </w:p>
    <w:p w14:paraId="1CDB742E">
      <w:pPr>
        <w:spacing w:line="600" w:lineRule="exact"/>
        <w:ind w:firstLine="640" w:firstLineChars="200"/>
        <w:jc w:val="center"/>
        <w:rPr>
          <w:rFonts w:ascii="Times New Roman" w:hAnsi="Times New Roman" w:eastAsia="方正黑体简体" w:cs="Times New Roman"/>
          <w:sz w:val="32"/>
          <w:szCs w:val="32"/>
        </w:rPr>
      </w:pPr>
    </w:p>
    <w:p w14:paraId="672B03EB">
      <w:pPr>
        <w:spacing w:line="600" w:lineRule="exact"/>
        <w:ind w:firstLine="640" w:firstLineChars="200"/>
        <w:rPr>
          <w:rFonts w:ascii="Times New Roman" w:hAnsi="Times New Roman" w:eastAsia="方正仿宋简体" w:cs="Times New Roman"/>
          <w:color w:val="000000"/>
          <w:sz w:val="32"/>
          <w:szCs w:val="32"/>
        </w:rPr>
      </w:pPr>
      <w:r>
        <w:rPr>
          <w:rFonts w:ascii="Times New Roman" w:hAnsi="Times New Roman" w:eastAsia="方正黑体简体" w:cs="Times New Roman"/>
          <w:sz w:val="32"/>
          <w:szCs w:val="32"/>
        </w:rPr>
        <w:t>一、公司基本情况</w:t>
      </w:r>
    </w:p>
    <w:p w14:paraId="0F583543">
      <w:pPr>
        <w:pStyle w:val="7"/>
        <w:tabs>
          <w:tab w:val="left" w:pos="1555"/>
        </w:tabs>
        <w:spacing w:line="600" w:lineRule="exact"/>
        <w:ind w:firstLine="640" w:firstLineChars="200"/>
        <w:rPr>
          <w:rFonts w:ascii="Times New Roman" w:hAnsi="Times New Roman" w:eastAsia="方正仿宋简体" w:cs="Times New Roman"/>
          <w:color w:val="000000"/>
          <w:sz w:val="32"/>
          <w:szCs w:val="32"/>
          <w:lang w:val="en-US" w:eastAsia="zh-CN"/>
        </w:rPr>
      </w:pPr>
      <w:r>
        <w:rPr>
          <w:rFonts w:hint="eastAsia" w:ascii="方正楷体简体" w:hAnsi="方正楷体简体" w:eastAsia="方正楷体简体" w:cs="方正楷体简体"/>
          <w:sz w:val="32"/>
          <w:szCs w:val="32"/>
          <w:lang w:val="en-US"/>
        </w:rPr>
        <w:t>（一）基本信息</w:t>
      </w:r>
    </w:p>
    <w:p w14:paraId="43002878">
      <w:pPr>
        <w:pStyle w:val="7"/>
        <w:tabs>
          <w:tab w:val="left" w:pos="1555"/>
        </w:tabs>
        <w:spacing w:line="560" w:lineRule="exact"/>
        <w:ind w:firstLine="640" w:firstLineChars="200"/>
        <w:rPr>
          <w:rFonts w:ascii="Times New Roman" w:hAnsi="Times New Roman" w:eastAsia="方正仿宋简体" w:cs="Times New Roman"/>
          <w:color w:val="000000"/>
          <w:sz w:val="32"/>
          <w:szCs w:val="32"/>
          <w:lang w:val="en-US" w:eastAsia="zh-CN"/>
        </w:rPr>
      </w:pPr>
      <w:r>
        <w:rPr>
          <w:rFonts w:hint="eastAsia" w:ascii="Times New Roman" w:hAnsi="Times New Roman" w:eastAsia="方正仿宋简体" w:cs="Times New Roman"/>
          <w:color w:val="000000"/>
          <w:sz w:val="32"/>
          <w:szCs w:val="32"/>
          <w:lang w:val="en-US" w:eastAsia="zh-CN"/>
        </w:rPr>
        <w:t>公司名称：山东公用工程管理有限公司</w:t>
      </w:r>
    </w:p>
    <w:p w14:paraId="47AF932E">
      <w:pPr>
        <w:pStyle w:val="7"/>
        <w:tabs>
          <w:tab w:val="left" w:pos="1555"/>
        </w:tabs>
        <w:spacing w:line="560" w:lineRule="exact"/>
        <w:ind w:firstLine="640" w:firstLineChars="200"/>
        <w:rPr>
          <w:rFonts w:ascii="Times New Roman" w:hAnsi="Times New Roman" w:eastAsia="方正仿宋简体" w:cs="Times New Roman"/>
          <w:color w:val="000000"/>
          <w:sz w:val="32"/>
          <w:szCs w:val="32"/>
          <w:lang w:val="en-US" w:eastAsia="zh-CN"/>
        </w:rPr>
      </w:pPr>
      <w:r>
        <w:rPr>
          <w:rFonts w:hint="eastAsia" w:ascii="Times New Roman" w:hAnsi="Times New Roman" w:eastAsia="方正仿宋简体" w:cs="Times New Roman"/>
          <w:color w:val="000000"/>
          <w:sz w:val="32"/>
          <w:szCs w:val="32"/>
          <w:lang w:val="en-US" w:eastAsia="zh-CN"/>
        </w:rPr>
        <w:t>类    型：有限责任公司(非自然人投资或控股的法人独资)</w:t>
      </w:r>
    </w:p>
    <w:p w14:paraId="60707724">
      <w:pPr>
        <w:pStyle w:val="7"/>
        <w:tabs>
          <w:tab w:val="left" w:pos="1555"/>
        </w:tabs>
        <w:spacing w:line="560" w:lineRule="exact"/>
        <w:ind w:firstLine="640" w:firstLineChars="200"/>
        <w:rPr>
          <w:rFonts w:ascii="Times New Roman" w:hAnsi="Times New Roman" w:eastAsia="方正仿宋简体" w:cs="Times New Roman"/>
          <w:color w:val="000000"/>
          <w:sz w:val="32"/>
          <w:szCs w:val="32"/>
          <w:lang w:val="en-US" w:eastAsia="zh-CN"/>
        </w:rPr>
      </w:pPr>
      <w:r>
        <w:rPr>
          <w:rFonts w:hint="eastAsia" w:ascii="Times New Roman" w:hAnsi="Times New Roman" w:eastAsia="方正仿宋简体" w:cs="Times New Roman"/>
          <w:color w:val="000000"/>
          <w:sz w:val="32"/>
          <w:szCs w:val="32"/>
          <w:lang w:val="en-US" w:eastAsia="zh-CN"/>
        </w:rPr>
        <w:t>法定代表人：张羽</w:t>
      </w:r>
    </w:p>
    <w:p w14:paraId="15C273B7">
      <w:pPr>
        <w:pStyle w:val="7"/>
        <w:tabs>
          <w:tab w:val="left" w:pos="1555"/>
        </w:tabs>
        <w:spacing w:line="560" w:lineRule="exact"/>
        <w:ind w:firstLine="640" w:firstLineChars="200"/>
        <w:rPr>
          <w:rFonts w:ascii="Times New Roman" w:hAnsi="Times New Roman" w:eastAsia="方正仿宋简体" w:cs="Times New Roman"/>
          <w:color w:val="000000"/>
          <w:sz w:val="32"/>
          <w:szCs w:val="32"/>
          <w:lang w:val="en-US" w:eastAsia="zh-CN"/>
        </w:rPr>
      </w:pPr>
      <w:r>
        <w:rPr>
          <w:rFonts w:hint="eastAsia" w:ascii="Times New Roman" w:hAnsi="Times New Roman" w:eastAsia="方正仿宋简体" w:cs="Times New Roman"/>
          <w:color w:val="000000"/>
          <w:sz w:val="32"/>
          <w:szCs w:val="32"/>
          <w:lang w:val="en-US" w:eastAsia="zh-CN"/>
        </w:rPr>
        <w:t>注册资金：伍佰万元整</w:t>
      </w:r>
    </w:p>
    <w:p w14:paraId="3E6CB046">
      <w:pPr>
        <w:pStyle w:val="7"/>
        <w:tabs>
          <w:tab w:val="left" w:pos="1555"/>
        </w:tabs>
        <w:spacing w:line="560" w:lineRule="exact"/>
        <w:ind w:firstLine="640" w:firstLineChars="200"/>
        <w:rPr>
          <w:rFonts w:ascii="Times New Roman" w:hAnsi="Times New Roman" w:eastAsia="方正仿宋简体" w:cs="Times New Roman"/>
          <w:color w:val="000000"/>
          <w:sz w:val="32"/>
          <w:szCs w:val="32"/>
          <w:lang w:val="en-US" w:eastAsia="zh-CN"/>
        </w:rPr>
      </w:pPr>
      <w:r>
        <w:rPr>
          <w:rFonts w:ascii="Times New Roman" w:hAnsi="Times New Roman" w:eastAsia="方正仿宋简体" w:cs="Times New Roman"/>
          <w:color w:val="000000"/>
          <w:sz w:val="32"/>
          <w:szCs w:val="32"/>
          <w:lang w:val="en-US" w:eastAsia="zh-CN"/>
        </w:rPr>
        <w:t>注册地址：山东省济宁市任城区仙营街道共青团路14号健身广场综合楼12楼</w:t>
      </w:r>
    </w:p>
    <w:p w14:paraId="5C59367D">
      <w:pPr>
        <w:pStyle w:val="7"/>
        <w:tabs>
          <w:tab w:val="left" w:pos="1555"/>
        </w:tabs>
        <w:spacing w:line="600" w:lineRule="exact"/>
        <w:ind w:firstLine="640" w:firstLineChars="200"/>
        <w:rPr>
          <w:rFonts w:ascii="Times New Roman" w:hAnsi="Times New Roman" w:eastAsia="方正仿宋简体" w:cs="Times New Roman"/>
          <w:color w:val="000000"/>
          <w:sz w:val="32"/>
          <w:szCs w:val="32"/>
          <w:lang w:val="en-US" w:eastAsia="zh-CN"/>
        </w:rPr>
      </w:pPr>
      <w:r>
        <w:rPr>
          <w:rFonts w:ascii="Times New Roman" w:hAnsi="Times New Roman" w:eastAsia="方正仿宋简体" w:cs="Times New Roman"/>
          <w:color w:val="000000"/>
          <w:sz w:val="32"/>
          <w:szCs w:val="32"/>
          <w:lang w:val="en-US" w:eastAsia="zh-CN"/>
        </w:rPr>
        <w:t>经营范围：一般项目</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工程管理服务</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人工智能硬件销售</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工业设计服务</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市政经营范围设施管理</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装卸搬运</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园林绿化工程施工</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土石方工程施工</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工程和技术研究和试验发展</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劳务服务 (不含劳务派遣)</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 xml:space="preserve">信息咨询服务(不含许可类信息咨询服务) </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物业管理</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建筑材料销售</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电气设备销售</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企业管理咨询</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工程造价咨询业务</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招投标代理服务</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对外承包工程。(除依法须经批准的项目外，凭营业执照依法自主开展经营活动)</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许可项目</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建设工程设计</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建设工程施工</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住宅室内装饰装修</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建设工程勘察</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测绘服务。(依法须经批准的项目，经相关部门批准后方可开展经营活动，具体经营项目以相关部门批准文件或许可证件为</w:t>
      </w:r>
      <w:r>
        <w:rPr>
          <w:rFonts w:hint="eastAsia" w:ascii="Times New Roman" w:hAnsi="Times New Roman" w:eastAsia="方正仿宋简体" w:cs="Times New Roman"/>
          <w:color w:val="000000"/>
          <w:sz w:val="32"/>
          <w:szCs w:val="32"/>
          <w:lang w:val="en-US" w:eastAsia="zh-CN"/>
        </w:rPr>
        <w:t>准</w:t>
      </w:r>
      <w:r>
        <w:rPr>
          <w:rFonts w:ascii="Times New Roman" w:hAnsi="Times New Roman" w:eastAsia="方正仿宋简体" w:cs="Times New Roman"/>
          <w:color w:val="000000"/>
          <w:sz w:val="32"/>
          <w:szCs w:val="32"/>
          <w:lang w:val="en-US" w:eastAsia="zh-CN"/>
        </w:rPr>
        <w:t>)</w:t>
      </w:r>
      <w:r>
        <w:rPr>
          <w:rFonts w:hint="eastAsia" w:ascii="Times New Roman" w:hAnsi="Times New Roman" w:eastAsia="方正仿宋简体" w:cs="Times New Roman"/>
          <w:color w:val="000000"/>
          <w:sz w:val="32"/>
          <w:szCs w:val="32"/>
          <w:lang w:val="en-US" w:eastAsia="zh-CN"/>
        </w:rPr>
        <w:t>。</w:t>
      </w:r>
    </w:p>
    <w:p w14:paraId="2B65F685">
      <w:pPr>
        <w:pStyle w:val="7"/>
        <w:tabs>
          <w:tab w:val="left" w:pos="1555"/>
        </w:tabs>
        <w:spacing w:line="600" w:lineRule="exact"/>
        <w:ind w:firstLine="640" w:firstLineChars="200"/>
        <w:rPr>
          <w:rFonts w:ascii="Times New Roman" w:hAnsi="Times New Roman" w:eastAsia="方正楷体简体" w:cs="Times New Roman"/>
          <w:color w:val="000000"/>
          <w:sz w:val="32"/>
          <w:szCs w:val="32"/>
          <w:lang w:val="en-US" w:eastAsia="zh-CN"/>
        </w:rPr>
      </w:pPr>
      <w:r>
        <w:rPr>
          <w:rFonts w:hint="eastAsia" w:ascii="方正楷体简体" w:hAnsi="方正楷体简体" w:eastAsia="方正楷体简体" w:cs="方正楷体简体"/>
          <w:sz w:val="32"/>
          <w:szCs w:val="32"/>
          <w:lang w:val="en-US"/>
        </w:rPr>
        <w:t>（</w:t>
      </w:r>
      <w:r>
        <w:rPr>
          <w:rFonts w:hint="eastAsia" w:ascii="方正楷体简体" w:hAnsi="方正楷体简体" w:eastAsia="方正楷体简体" w:cs="方正楷体简体"/>
          <w:sz w:val="32"/>
          <w:szCs w:val="32"/>
          <w:lang w:val="en-US" w:eastAsia="zh-CN"/>
        </w:rPr>
        <w:t>二</w:t>
      </w:r>
      <w:r>
        <w:rPr>
          <w:rFonts w:hint="eastAsia" w:ascii="方正楷体简体" w:hAnsi="方正楷体简体" w:eastAsia="方正楷体简体" w:cs="方正楷体简体"/>
          <w:sz w:val="32"/>
          <w:szCs w:val="32"/>
          <w:lang w:val="en-US"/>
        </w:rPr>
        <w:t>）</w:t>
      </w:r>
      <w:r>
        <w:rPr>
          <w:rFonts w:hint="eastAsia" w:ascii="方正楷体简体" w:hAnsi="方正楷体简体" w:eastAsia="方正楷体简体" w:cs="方正楷体简体"/>
          <w:sz w:val="32"/>
          <w:szCs w:val="32"/>
          <w:lang w:val="en-US" w:eastAsia="zh-CN"/>
        </w:rPr>
        <w:t>公司简介</w:t>
      </w:r>
    </w:p>
    <w:p w14:paraId="14A1AA4F">
      <w:pPr>
        <w:pStyle w:val="7"/>
        <w:tabs>
          <w:tab w:val="left" w:pos="1555"/>
        </w:tabs>
        <w:spacing w:line="600" w:lineRule="exact"/>
        <w:ind w:firstLine="640" w:firstLineChars="200"/>
        <w:rPr>
          <w:rFonts w:ascii="Times New Roman" w:hAnsi="Times New Roman" w:eastAsia="方正仿宋简体" w:cs="Times New Roman"/>
          <w:color w:val="000000"/>
          <w:sz w:val="32"/>
          <w:szCs w:val="32"/>
          <w:lang w:val="en-US" w:eastAsia="zh-CN"/>
        </w:rPr>
      </w:pPr>
      <w:r>
        <w:rPr>
          <w:rFonts w:ascii="Times New Roman" w:hAnsi="Times New Roman" w:eastAsia="方正仿宋简体" w:cs="Times New Roman"/>
          <w:color w:val="000000"/>
          <w:sz w:val="32"/>
          <w:szCs w:val="32"/>
          <w:lang w:val="en-US" w:eastAsia="zh-CN"/>
        </w:rPr>
        <w:t>公司主营业务为工程管理、运行管理服务、招标代理服务等。公司现有济宁市南跃进沟提水站工程运行管理项目</w:t>
      </w:r>
      <w:r>
        <w:rPr>
          <w:rFonts w:hint="eastAsia" w:ascii="Times New Roman" w:hAnsi="Times New Roman" w:eastAsia="方正仿宋简体" w:cs="Times New Roman"/>
          <w:color w:val="000000"/>
          <w:sz w:val="32"/>
          <w:szCs w:val="32"/>
          <w:lang w:val="en-US" w:eastAsia="zh-CN"/>
        </w:rPr>
        <w:t>、</w:t>
      </w:r>
      <w:r>
        <w:rPr>
          <w:rFonts w:ascii="Times New Roman" w:hAnsi="Times New Roman" w:eastAsia="方正仿宋简体" w:cs="Times New Roman"/>
          <w:color w:val="000000"/>
          <w:sz w:val="32"/>
          <w:szCs w:val="32"/>
          <w:lang w:val="en-US" w:eastAsia="zh-CN"/>
        </w:rPr>
        <w:t>济宁市截污导流蓄水区人工湿地水质净化工程运行管理项目</w:t>
      </w:r>
      <w:r>
        <w:rPr>
          <w:rFonts w:hint="eastAsia" w:ascii="Times New Roman" w:hAnsi="Times New Roman" w:eastAsia="方正仿宋简体" w:cs="Times New Roman"/>
          <w:color w:val="000000"/>
          <w:sz w:val="32"/>
          <w:szCs w:val="32"/>
          <w:lang w:val="en-US" w:eastAsia="zh-CN"/>
        </w:rPr>
        <w:t>两个运行管理项目</w:t>
      </w:r>
      <w:r>
        <w:rPr>
          <w:rFonts w:ascii="Times New Roman" w:hAnsi="Times New Roman" w:eastAsia="方正仿宋简体" w:cs="Times New Roman"/>
          <w:color w:val="000000"/>
          <w:sz w:val="32"/>
          <w:szCs w:val="32"/>
          <w:lang w:val="en-US" w:eastAsia="zh-CN"/>
        </w:rPr>
        <w:t>，项目运行良好，满足工程使用要求，获得业主单位一致好评。</w:t>
      </w:r>
    </w:p>
    <w:p w14:paraId="68542F11">
      <w:pPr>
        <w:pStyle w:val="7"/>
        <w:numPr>
          <w:ilvl w:val="0"/>
          <w:numId w:val="1"/>
        </w:numPr>
        <w:spacing w:line="600" w:lineRule="exact"/>
        <w:ind w:firstLine="640" w:firstLineChars="200"/>
        <w:rPr>
          <w:rFonts w:ascii="Times New Roman" w:hAnsi="Times New Roman" w:eastAsia="方正黑体简体" w:cs="Times New Roman"/>
          <w:color w:val="000000"/>
          <w:sz w:val="32"/>
          <w:szCs w:val="32"/>
        </w:rPr>
      </w:pPr>
      <w:r>
        <w:rPr>
          <w:rFonts w:ascii="Times New Roman" w:hAnsi="Times New Roman" w:eastAsia="方正黑体简体" w:cs="Times New Roman"/>
          <w:color w:val="000000"/>
          <w:sz w:val="32"/>
          <w:szCs w:val="32"/>
        </w:rPr>
        <w:t>主要会计数据和财务指标</w:t>
      </w:r>
    </w:p>
    <w:p w14:paraId="72178C33">
      <w:pPr>
        <w:pStyle w:val="7"/>
        <w:spacing w:line="600" w:lineRule="exact"/>
        <w:ind w:firstLine="640" w:firstLineChars="200"/>
        <w:jc w:val="center"/>
        <w:rPr>
          <w:rFonts w:ascii="Times New Roman" w:hAnsi="Times New Roman" w:eastAsia="方正黑体简体" w:cs="Times New Roman"/>
          <w:color w:val="000000"/>
          <w:sz w:val="32"/>
          <w:szCs w:val="32"/>
          <w:lang w:val="en-US" w:eastAsia="zh-CN"/>
        </w:rPr>
      </w:pPr>
      <w:r>
        <w:rPr>
          <w:rFonts w:hint="eastAsia" w:ascii="Times New Roman" w:hAnsi="Times New Roman" w:eastAsia="方正黑体简体" w:cs="Times New Roman"/>
          <w:color w:val="000000"/>
          <w:sz w:val="32"/>
          <w:szCs w:val="32"/>
          <w:lang w:val="en-US" w:eastAsia="zh-CN"/>
        </w:rPr>
        <w:t>2024年度主要财务数据</w:t>
      </w:r>
    </w:p>
    <w:p w14:paraId="28BA3B4B">
      <w:pPr>
        <w:pStyle w:val="7"/>
        <w:spacing w:line="600" w:lineRule="exact"/>
        <w:ind w:left="420" w:leftChars="200" w:firstLine="0"/>
        <w:jc w:val="right"/>
        <w:rPr>
          <w:rFonts w:hint="eastAsia" w:ascii="方正楷体简体" w:hAnsi="方正楷体简体" w:eastAsia="方正楷体简体" w:cs="方正楷体简体"/>
          <w:color w:val="000000"/>
          <w:sz w:val="32"/>
          <w:szCs w:val="32"/>
        </w:rPr>
      </w:pPr>
      <w:r>
        <w:rPr>
          <w:rFonts w:hint="eastAsia" w:ascii="方正楷体简体" w:hAnsi="方正楷体简体" w:eastAsia="方正楷体简体" w:cs="方正楷体简体"/>
          <w:color w:val="000000"/>
          <w:kern w:val="0"/>
          <w:sz w:val="32"/>
          <w:szCs w:val="32"/>
          <w:lang w:val="en-US" w:eastAsia="zh-CN" w:bidi="ar"/>
        </w:rPr>
        <w:t>单位：人民币万元</w:t>
      </w:r>
    </w:p>
    <w:tbl>
      <w:tblPr>
        <w:tblStyle w:val="5"/>
        <w:tblW w:w="8550" w:type="dxa"/>
        <w:tblInd w:w="192" w:type="dxa"/>
        <w:tblLayout w:type="fixed"/>
        <w:tblCellMar>
          <w:top w:w="0" w:type="dxa"/>
          <w:left w:w="108" w:type="dxa"/>
          <w:bottom w:w="0" w:type="dxa"/>
          <w:right w:w="108" w:type="dxa"/>
        </w:tblCellMar>
      </w:tblPr>
      <w:tblGrid>
        <w:gridCol w:w="1050"/>
        <w:gridCol w:w="2310"/>
        <w:gridCol w:w="2595"/>
        <w:gridCol w:w="2595"/>
      </w:tblGrid>
      <w:tr w14:paraId="2A2DEAD5">
        <w:tblPrEx>
          <w:tblCellMar>
            <w:top w:w="0" w:type="dxa"/>
            <w:left w:w="108" w:type="dxa"/>
            <w:bottom w:w="0" w:type="dxa"/>
            <w:right w:w="108" w:type="dxa"/>
          </w:tblCellMar>
        </w:tblPrEx>
        <w:trPr>
          <w:trHeight w:val="571"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88294">
            <w:pPr>
              <w:widowControl/>
              <w:jc w:val="center"/>
              <w:rPr>
                <w:rFonts w:ascii="Times New Roman" w:hAnsi="Times New Roman" w:eastAsia="方正仿宋简体" w:cs="Times New Roman"/>
                <w:color w:val="000000"/>
                <w:sz w:val="32"/>
                <w:szCs w:val="32"/>
              </w:rPr>
            </w:pPr>
            <w:r>
              <w:rPr>
                <w:rFonts w:hint="eastAsia" w:ascii="Times New Roman" w:hAnsi="Times New Roman" w:eastAsia="方正仿宋简体" w:cs="Times New Roman"/>
                <w:color w:val="000000"/>
                <w:sz w:val="32"/>
                <w:szCs w:val="32"/>
              </w:rPr>
              <w:t>序号</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E7B4C">
            <w:pPr>
              <w:widowControl/>
              <w:jc w:val="center"/>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项目</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ADD24">
            <w:pPr>
              <w:widowControl/>
              <w:jc w:val="center"/>
              <w:textAlignment w:val="center"/>
              <w:rPr>
                <w:rFonts w:ascii="Times New Roman" w:hAnsi="Times New Roman" w:eastAsia="方正仿宋简体" w:cs="Times New Roman"/>
                <w:color w:val="000000"/>
                <w:sz w:val="32"/>
                <w:szCs w:val="32"/>
              </w:rPr>
            </w:pPr>
            <w:r>
              <w:rPr>
                <w:rFonts w:hint="eastAsia" w:ascii="Times New Roman" w:hAnsi="Times New Roman" w:eastAsia="方正仿宋简体" w:cs="Times New Roman"/>
                <w:color w:val="000000"/>
                <w:kern w:val="0"/>
                <w:sz w:val="32"/>
                <w:szCs w:val="32"/>
                <w:lang w:bidi="ar"/>
              </w:rPr>
              <w:t>本期</w:t>
            </w:r>
            <w:r>
              <w:rPr>
                <w:rFonts w:ascii="Times New Roman" w:hAnsi="Times New Roman" w:eastAsia="方正仿宋简体" w:cs="Times New Roman"/>
                <w:color w:val="000000"/>
                <w:kern w:val="0"/>
                <w:sz w:val="32"/>
                <w:szCs w:val="32"/>
                <w:lang w:bidi="ar"/>
              </w:rPr>
              <w:t>金额</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448FF">
            <w:pPr>
              <w:widowControl/>
              <w:jc w:val="center"/>
              <w:textAlignment w:val="center"/>
              <w:rPr>
                <w:rFonts w:ascii="Times New Roman" w:hAnsi="Times New Roman" w:eastAsia="方正仿宋简体" w:cs="Times New Roman"/>
                <w:color w:val="000000"/>
                <w:kern w:val="0"/>
                <w:sz w:val="32"/>
                <w:szCs w:val="32"/>
                <w:lang w:bidi="ar"/>
              </w:rPr>
            </w:pPr>
            <w:r>
              <w:rPr>
                <w:rFonts w:hint="eastAsia" w:ascii="Times New Roman" w:hAnsi="Times New Roman" w:eastAsia="方正仿宋简体" w:cs="Times New Roman"/>
                <w:color w:val="000000"/>
                <w:kern w:val="0"/>
                <w:sz w:val="32"/>
                <w:szCs w:val="32"/>
                <w:lang w:bidi="ar"/>
              </w:rPr>
              <w:t>上年同期金额</w:t>
            </w:r>
          </w:p>
        </w:tc>
      </w:tr>
      <w:tr w14:paraId="53773936">
        <w:tblPrEx>
          <w:tblCellMar>
            <w:top w:w="0" w:type="dxa"/>
            <w:left w:w="108" w:type="dxa"/>
            <w:bottom w:w="0" w:type="dxa"/>
            <w:right w:w="108" w:type="dxa"/>
          </w:tblCellMar>
        </w:tblPrEx>
        <w:trPr>
          <w:trHeight w:val="571"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7BD8F">
            <w:pPr>
              <w:widowControl/>
              <w:jc w:val="center"/>
              <w:rPr>
                <w:rFonts w:ascii="Times New Roman" w:hAnsi="Times New Roman" w:eastAsia="方正仿宋简体" w:cs="Times New Roman"/>
                <w:color w:val="000000"/>
                <w:sz w:val="32"/>
                <w:szCs w:val="32"/>
              </w:rPr>
            </w:pPr>
            <w:r>
              <w:rPr>
                <w:rFonts w:hint="eastAsia" w:ascii="Times New Roman" w:hAnsi="Times New Roman" w:eastAsia="方正仿宋简体" w:cs="Times New Roman"/>
                <w:color w:val="000000"/>
                <w:sz w:val="32"/>
                <w:szCs w:val="32"/>
              </w:rPr>
              <w:t>1</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0B256">
            <w:pPr>
              <w:widowControl/>
              <w:jc w:val="center"/>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资产总额</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0C097">
            <w:pPr>
              <w:widowControl/>
              <w:jc w:val="center"/>
              <w:textAlignment w:val="center"/>
              <w:rPr>
                <w:rFonts w:hint="eastAsia" w:ascii="Times New Roman" w:hAnsi="Times New Roman" w:eastAsia="方正仿宋简体" w:cs="Times New Roman"/>
                <w:color w:val="000000"/>
                <w:sz w:val="32"/>
                <w:szCs w:val="32"/>
              </w:rPr>
            </w:pPr>
            <w:r>
              <w:rPr>
                <w:rFonts w:hint="eastAsia" w:ascii="Times New Roman" w:hAnsi="Times New Roman" w:eastAsia="方正仿宋简体" w:cs="Times New Roman"/>
                <w:color w:val="000000"/>
                <w:sz w:val="32"/>
                <w:szCs w:val="32"/>
              </w:rPr>
              <w:t>160</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0D480">
            <w:pPr>
              <w:widowControl/>
              <w:jc w:val="center"/>
              <w:textAlignment w:val="center"/>
              <w:rPr>
                <w:rFonts w:hint="default" w:ascii="Times New Roman" w:hAnsi="Times New Roman" w:eastAsia="方正仿宋简体" w:cs="Times New Roman"/>
                <w:color w:val="000000"/>
                <w:sz w:val="32"/>
                <w:szCs w:val="32"/>
                <w:lang w:val="en-US" w:eastAsia="zh-CN"/>
              </w:rPr>
            </w:pPr>
            <w:r>
              <w:rPr>
                <w:rFonts w:hint="eastAsia" w:ascii="Times New Roman" w:hAnsi="Times New Roman" w:eastAsia="方正仿宋简体" w:cs="Times New Roman"/>
                <w:color w:val="000000"/>
                <w:sz w:val="32"/>
                <w:szCs w:val="32"/>
                <w:lang w:val="en-US" w:eastAsia="zh-CN"/>
              </w:rPr>
              <w:t>101</w:t>
            </w:r>
          </w:p>
        </w:tc>
      </w:tr>
      <w:tr w14:paraId="44C78CC5">
        <w:tblPrEx>
          <w:tblCellMar>
            <w:top w:w="0" w:type="dxa"/>
            <w:left w:w="108" w:type="dxa"/>
            <w:bottom w:w="0" w:type="dxa"/>
            <w:right w:w="108" w:type="dxa"/>
          </w:tblCellMar>
        </w:tblPrEx>
        <w:trPr>
          <w:trHeight w:val="571"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CA5A8">
            <w:pPr>
              <w:widowControl/>
              <w:jc w:val="center"/>
              <w:rPr>
                <w:rFonts w:ascii="Times New Roman" w:hAnsi="Times New Roman" w:eastAsia="方正仿宋简体" w:cs="Times New Roman"/>
                <w:color w:val="000000"/>
                <w:sz w:val="32"/>
                <w:szCs w:val="32"/>
              </w:rPr>
            </w:pPr>
            <w:r>
              <w:rPr>
                <w:rFonts w:hint="eastAsia" w:ascii="Times New Roman" w:hAnsi="Times New Roman" w:eastAsia="方正仿宋简体" w:cs="Times New Roman"/>
                <w:color w:val="000000"/>
                <w:sz w:val="32"/>
                <w:szCs w:val="32"/>
              </w:rPr>
              <w:t>2</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76C81">
            <w:pPr>
              <w:widowControl/>
              <w:jc w:val="center"/>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负债总额</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1EA98">
            <w:pPr>
              <w:widowControl/>
              <w:jc w:val="center"/>
              <w:textAlignment w:val="center"/>
              <w:rPr>
                <w:rFonts w:ascii="Times New Roman" w:hAnsi="Times New Roman" w:eastAsia="方正仿宋简体" w:cs="Times New Roman"/>
                <w:color w:val="000000"/>
                <w:sz w:val="32"/>
                <w:szCs w:val="32"/>
              </w:rPr>
            </w:pPr>
            <w:r>
              <w:rPr>
                <w:rFonts w:hint="eastAsia" w:ascii="Times New Roman" w:hAnsi="Times New Roman" w:eastAsia="方正仿宋简体" w:cs="Times New Roman"/>
                <w:color w:val="000000"/>
                <w:sz w:val="32"/>
                <w:szCs w:val="32"/>
              </w:rPr>
              <w:t>12</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00287">
            <w:pPr>
              <w:widowControl/>
              <w:jc w:val="center"/>
              <w:textAlignment w:val="center"/>
              <w:rPr>
                <w:rFonts w:hint="eastAsia" w:ascii="Times New Roman" w:hAnsi="Times New Roman" w:eastAsia="方正仿宋简体" w:cs="Times New Roman"/>
                <w:color w:val="000000"/>
                <w:sz w:val="32"/>
                <w:szCs w:val="32"/>
                <w:lang w:val="en-US" w:eastAsia="zh-CN"/>
              </w:rPr>
            </w:pPr>
            <w:r>
              <w:rPr>
                <w:rFonts w:hint="eastAsia" w:ascii="Times New Roman" w:hAnsi="Times New Roman" w:eastAsia="方正仿宋简体" w:cs="Times New Roman"/>
                <w:color w:val="000000"/>
                <w:sz w:val="32"/>
                <w:szCs w:val="32"/>
                <w:lang w:val="en-US" w:eastAsia="zh-CN"/>
              </w:rPr>
              <w:t>5</w:t>
            </w:r>
          </w:p>
        </w:tc>
      </w:tr>
      <w:tr w14:paraId="0BC2ABD2">
        <w:tblPrEx>
          <w:tblCellMar>
            <w:top w:w="0" w:type="dxa"/>
            <w:left w:w="108" w:type="dxa"/>
            <w:bottom w:w="0" w:type="dxa"/>
            <w:right w:w="108" w:type="dxa"/>
          </w:tblCellMar>
        </w:tblPrEx>
        <w:trPr>
          <w:trHeight w:val="571"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52BDD">
            <w:pPr>
              <w:widowControl/>
              <w:jc w:val="center"/>
              <w:rPr>
                <w:rFonts w:ascii="Times New Roman" w:hAnsi="Times New Roman" w:eastAsia="方正仿宋简体" w:cs="Times New Roman"/>
                <w:color w:val="000000"/>
                <w:sz w:val="32"/>
                <w:szCs w:val="32"/>
              </w:rPr>
            </w:pPr>
            <w:r>
              <w:rPr>
                <w:rFonts w:hint="eastAsia" w:ascii="Times New Roman" w:hAnsi="Times New Roman" w:eastAsia="方正仿宋简体" w:cs="Times New Roman"/>
                <w:color w:val="000000"/>
                <w:sz w:val="32"/>
                <w:szCs w:val="32"/>
              </w:rPr>
              <w:t>3</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9D1BCC">
            <w:pPr>
              <w:widowControl/>
              <w:jc w:val="center"/>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所有者权益</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9C255">
            <w:pPr>
              <w:widowControl/>
              <w:jc w:val="center"/>
              <w:textAlignment w:val="center"/>
              <w:rPr>
                <w:rFonts w:ascii="Times New Roman" w:hAnsi="Times New Roman" w:eastAsia="方正仿宋简体" w:cs="Times New Roman"/>
                <w:color w:val="000000"/>
                <w:sz w:val="32"/>
                <w:szCs w:val="32"/>
              </w:rPr>
            </w:pPr>
            <w:r>
              <w:rPr>
                <w:rFonts w:hint="eastAsia" w:ascii="Times New Roman" w:hAnsi="Times New Roman" w:eastAsia="方正仿宋简体" w:cs="Times New Roman"/>
                <w:color w:val="000000"/>
                <w:sz w:val="32"/>
                <w:szCs w:val="32"/>
              </w:rPr>
              <w:t>148</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82684">
            <w:pPr>
              <w:widowControl/>
              <w:jc w:val="center"/>
              <w:textAlignment w:val="center"/>
              <w:rPr>
                <w:rFonts w:hint="default" w:ascii="Times New Roman" w:hAnsi="Times New Roman" w:eastAsia="方正仿宋简体" w:cs="Times New Roman"/>
                <w:color w:val="000000"/>
                <w:sz w:val="32"/>
                <w:szCs w:val="32"/>
                <w:lang w:val="en-US" w:eastAsia="zh-CN"/>
              </w:rPr>
            </w:pPr>
            <w:r>
              <w:rPr>
                <w:rFonts w:hint="eastAsia" w:ascii="Times New Roman" w:hAnsi="Times New Roman" w:eastAsia="方正仿宋简体" w:cs="Times New Roman"/>
                <w:color w:val="000000"/>
                <w:sz w:val="32"/>
                <w:szCs w:val="32"/>
                <w:lang w:val="en-US" w:eastAsia="zh-CN"/>
              </w:rPr>
              <w:t>96</w:t>
            </w:r>
          </w:p>
        </w:tc>
      </w:tr>
      <w:tr w14:paraId="3E9BCE59">
        <w:tblPrEx>
          <w:tblCellMar>
            <w:top w:w="0" w:type="dxa"/>
            <w:left w:w="108" w:type="dxa"/>
            <w:bottom w:w="0" w:type="dxa"/>
            <w:right w:w="108" w:type="dxa"/>
          </w:tblCellMar>
        </w:tblPrEx>
        <w:trPr>
          <w:trHeight w:val="58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4CC94">
            <w:pPr>
              <w:widowControl/>
              <w:jc w:val="center"/>
              <w:rPr>
                <w:rFonts w:ascii="Times New Roman" w:hAnsi="Times New Roman" w:eastAsia="方正仿宋简体" w:cs="Times New Roman"/>
                <w:color w:val="000000"/>
                <w:sz w:val="32"/>
                <w:szCs w:val="32"/>
              </w:rPr>
            </w:pPr>
            <w:r>
              <w:rPr>
                <w:rFonts w:hint="eastAsia" w:ascii="Times New Roman" w:hAnsi="Times New Roman" w:eastAsia="方正仿宋简体" w:cs="Times New Roman"/>
                <w:color w:val="000000"/>
                <w:sz w:val="32"/>
                <w:szCs w:val="32"/>
              </w:rPr>
              <w:t>4</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0997F">
            <w:pPr>
              <w:widowControl/>
              <w:jc w:val="center"/>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营业</w:t>
            </w:r>
            <w:r>
              <w:rPr>
                <w:rFonts w:hint="eastAsia" w:ascii="Times New Roman" w:hAnsi="Times New Roman" w:eastAsia="方正仿宋简体" w:cs="Times New Roman"/>
                <w:color w:val="000000"/>
                <w:sz w:val="32"/>
                <w:szCs w:val="32"/>
              </w:rPr>
              <w:t>总</w:t>
            </w:r>
            <w:r>
              <w:rPr>
                <w:rFonts w:ascii="Times New Roman" w:hAnsi="Times New Roman" w:eastAsia="方正仿宋简体" w:cs="Times New Roman"/>
                <w:color w:val="000000"/>
                <w:sz w:val="32"/>
                <w:szCs w:val="32"/>
              </w:rPr>
              <w:t>收入</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4A648">
            <w:pPr>
              <w:widowControl/>
              <w:jc w:val="center"/>
              <w:textAlignment w:val="center"/>
              <w:rPr>
                <w:rFonts w:ascii="Times New Roman" w:hAnsi="Times New Roman" w:eastAsia="方正仿宋简体" w:cs="Times New Roman"/>
                <w:color w:val="000000"/>
                <w:sz w:val="32"/>
                <w:szCs w:val="32"/>
              </w:rPr>
            </w:pPr>
            <w:r>
              <w:rPr>
                <w:rFonts w:hint="eastAsia" w:ascii="Times New Roman" w:hAnsi="Times New Roman" w:eastAsia="方正仿宋简体" w:cs="Times New Roman"/>
                <w:color w:val="000000"/>
                <w:sz w:val="32"/>
                <w:szCs w:val="32"/>
              </w:rPr>
              <w:t>183</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25DD9D">
            <w:pPr>
              <w:widowControl/>
              <w:jc w:val="center"/>
              <w:textAlignment w:val="center"/>
              <w:rPr>
                <w:rFonts w:hint="default" w:ascii="Times New Roman" w:hAnsi="Times New Roman" w:eastAsia="方正仿宋简体" w:cs="Times New Roman"/>
                <w:color w:val="000000"/>
                <w:sz w:val="32"/>
                <w:szCs w:val="32"/>
                <w:lang w:val="en-US" w:eastAsia="zh-CN"/>
              </w:rPr>
            </w:pPr>
            <w:r>
              <w:rPr>
                <w:rFonts w:hint="eastAsia" w:ascii="Times New Roman" w:hAnsi="Times New Roman" w:eastAsia="方正仿宋简体" w:cs="Times New Roman"/>
                <w:color w:val="000000"/>
                <w:sz w:val="32"/>
                <w:szCs w:val="32"/>
                <w:lang w:val="en-US" w:eastAsia="zh-CN"/>
              </w:rPr>
              <w:t>128</w:t>
            </w:r>
          </w:p>
        </w:tc>
      </w:tr>
      <w:tr w14:paraId="5933BC25">
        <w:tblPrEx>
          <w:tblCellMar>
            <w:top w:w="0" w:type="dxa"/>
            <w:left w:w="108" w:type="dxa"/>
            <w:bottom w:w="0" w:type="dxa"/>
            <w:right w:w="108" w:type="dxa"/>
          </w:tblCellMar>
        </w:tblPrEx>
        <w:trPr>
          <w:trHeight w:val="58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3EB1D9">
            <w:pPr>
              <w:widowControl/>
              <w:jc w:val="center"/>
              <w:rPr>
                <w:rFonts w:ascii="Times New Roman" w:hAnsi="Times New Roman" w:eastAsia="方正仿宋简体" w:cs="Times New Roman"/>
                <w:color w:val="000000"/>
                <w:sz w:val="32"/>
                <w:szCs w:val="32"/>
              </w:rPr>
            </w:pPr>
            <w:r>
              <w:rPr>
                <w:rFonts w:hint="eastAsia" w:ascii="Times New Roman" w:hAnsi="Times New Roman" w:eastAsia="方正仿宋简体" w:cs="Times New Roman"/>
                <w:color w:val="000000"/>
                <w:sz w:val="32"/>
                <w:szCs w:val="32"/>
              </w:rPr>
              <w:t>5</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346ED">
            <w:pPr>
              <w:widowControl/>
              <w:jc w:val="center"/>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营业</w:t>
            </w:r>
            <w:r>
              <w:rPr>
                <w:rFonts w:hint="eastAsia" w:ascii="Times New Roman" w:hAnsi="Times New Roman" w:eastAsia="方正仿宋简体" w:cs="Times New Roman"/>
                <w:color w:val="000000"/>
                <w:sz w:val="32"/>
                <w:szCs w:val="32"/>
              </w:rPr>
              <w:t>总</w:t>
            </w:r>
            <w:r>
              <w:rPr>
                <w:rFonts w:ascii="Times New Roman" w:hAnsi="Times New Roman" w:eastAsia="方正仿宋简体" w:cs="Times New Roman"/>
                <w:color w:val="000000"/>
                <w:sz w:val="32"/>
                <w:szCs w:val="32"/>
              </w:rPr>
              <w:t>成本</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34C98">
            <w:pPr>
              <w:widowControl/>
              <w:jc w:val="center"/>
              <w:textAlignment w:val="center"/>
              <w:rPr>
                <w:rFonts w:ascii="Times New Roman" w:hAnsi="Times New Roman" w:eastAsia="宋体" w:cs="Times New Roman"/>
                <w:color w:val="000000"/>
                <w:kern w:val="0"/>
                <w:sz w:val="32"/>
                <w:szCs w:val="32"/>
                <w:lang w:bidi="ar"/>
              </w:rPr>
            </w:pPr>
            <w:r>
              <w:rPr>
                <w:rFonts w:hint="eastAsia" w:ascii="Times New Roman" w:hAnsi="Times New Roman" w:eastAsia="宋体" w:cs="Times New Roman"/>
                <w:color w:val="000000"/>
                <w:kern w:val="0"/>
                <w:sz w:val="32"/>
                <w:szCs w:val="32"/>
                <w:lang w:bidi="ar"/>
              </w:rPr>
              <w:t>128</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FFC42">
            <w:pPr>
              <w:widowControl/>
              <w:jc w:val="center"/>
              <w:textAlignment w:val="center"/>
              <w:rPr>
                <w:rFonts w:hint="default" w:ascii="Times New Roman" w:hAnsi="Times New Roman" w:eastAsia="宋体" w:cs="Times New Roman"/>
                <w:color w:val="000000"/>
                <w:kern w:val="0"/>
                <w:sz w:val="32"/>
                <w:szCs w:val="32"/>
                <w:lang w:val="en-US" w:eastAsia="zh-CN" w:bidi="ar"/>
              </w:rPr>
            </w:pPr>
            <w:r>
              <w:rPr>
                <w:rFonts w:hint="eastAsia" w:ascii="Times New Roman" w:hAnsi="Times New Roman" w:eastAsia="宋体" w:cs="Times New Roman"/>
                <w:color w:val="000000"/>
                <w:kern w:val="0"/>
                <w:sz w:val="32"/>
                <w:szCs w:val="32"/>
                <w:lang w:val="en-US" w:eastAsia="zh-CN" w:bidi="ar"/>
              </w:rPr>
              <w:t>77</w:t>
            </w:r>
          </w:p>
        </w:tc>
      </w:tr>
      <w:tr w14:paraId="79F32C32">
        <w:tblPrEx>
          <w:tblCellMar>
            <w:top w:w="0" w:type="dxa"/>
            <w:left w:w="108" w:type="dxa"/>
            <w:bottom w:w="0" w:type="dxa"/>
            <w:right w:w="108" w:type="dxa"/>
          </w:tblCellMar>
        </w:tblPrEx>
        <w:trPr>
          <w:trHeight w:val="580" w:hRule="atLeast"/>
        </w:trPr>
        <w:tc>
          <w:tcPr>
            <w:tcW w:w="10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34C0F">
            <w:pPr>
              <w:widowControl/>
              <w:jc w:val="center"/>
              <w:rPr>
                <w:rFonts w:ascii="Times New Roman" w:hAnsi="Times New Roman" w:eastAsia="方正仿宋简体" w:cs="Times New Roman"/>
                <w:color w:val="000000"/>
                <w:sz w:val="32"/>
                <w:szCs w:val="32"/>
              </w:rPr>
            </w:pPr>
            <w:r>
              <w:rPr>
                <w:rFonts w:hint="eastAsia" w:ascii="Times New Roman" w:hAnsi="Times New Roman" w:eastAsia="方正仿宋简体" w:cs="Times New Roman"/>
                <w:color w:val="000000"/>
                <w:sz w:val="32"/>
                <w:szCs w:val="32"/>
              </w:rPr>
              <w:t>6</w:t>
            </w:r>
          </w:p>
        </w:tc>
        <w:tc>
          <w:tcPr>
            <w:tcW w:w="23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7873A">
            <w:pPr>
              <w:widowControl/>
              <w:jc w:val="center"/>
              <w:rPr>
                <w:rFonts w:ascii="Times New Roman" w:hAnsi="Times New Roman" w:eastAsia="方正仿宋简体" w:cs="Times New Roman"/>
                <w:color w:val="000000"/>
                <w:sz w:val="32"/>
                <w:szCs w:val="32"/>
              </w:rPr>
            </w:pPr>
            <w:r>
              <w:rPr>
                <w:rFonts w:ascii="Times New Roman" w:hAnsi="Times New Roman" w:eastAsia="方正仿宋简体" w:cs="Times New Roman"/>
                <w:color w:val="000000"/>
                <w:sz w:val="32"/>
                <w:szCs w:val="32"/>
              </w:rPr>
              <w:t>利润总额</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7D570">
            <w:pPr>
              <w:widowControl/>
              <w:jc w:val="center"/>
              <w:textAlignment w:val="center"/>
              <w:rPr>
                <w:rFonts w:ascii="Times New Roman" w:hAnsi="Times New Roman" w:eastAsia="宋体" w:cs="Times New Roman"/>
                <w:color w:val="000000"/>
                <w:kern w:val="0"/>
                <w:sz w:val="32"/>
                <w:szCs w:val="32"/>
                <w:lang w:bidi="ar"/>
              </w:rPr>
            </w:pPr>
            <w:r>
              <w:rPr>
                <w:rFonts w:hint="eastAsia" w:ascii="Times New Roman" w:hAnsi="Times New Roman" w:eastAsia="宋体" w:cs="Times New Roman"/>
                <w:color w:val="000000"/>
                <w:kern w:val="0"/>
                <w:sz w:val="32"/>
                <w:szCs w:val="32"/>
                <w:lang w:bidi="ar"/>
              </w:rPr>
              <w:t>55</w:t>
            </w:r>
          </w:p>
        </w:tc>
        <w:tc>
          <w:tcPr>
            <w:tcW w:w="25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5104F">
            <w:pPr>
              <w:widowControl/>
              <w:jc w:val="center"/>
              <w:textAlignment w:val="center"/>
              <w:rPr>
                <w:rFonts w:hint="default" w:ascii="Times New Roman" w:hAnsi="Times New Roman" w:eastAsia="宋体" w:cs="Times New Roman"/>
                <w:color w:val="000000"/>
                <w:kern w:val="0"/>
                <w:sz w:val="32"/>
                <w:szCs w:val="32"/>
                <w:lang w:val="en-US" w:eastAsia="zh-CN" w:bidi="ar"/>
              </w:rPr>
            </w:pPr>
            <w:r>
              <w:rPr>
                <w:rFonts w:hint="eastAsia" w:ascii="Times New Roman" w:hAnsi="Times New Roman" w:eastAsia="宋体" w:cs="Times New Roman"/>
                <w:color w:val="000000"/>
                <w:kern w:val="0"/>
                <w:sz w:val="32"/>
                <w:szCs w:val="32"/>
                <w:lang w:val="en-US" w:eastAsia="zh-CN" w:bidi="ar"/>
              </w:rPr>
              <w:t>52</w:t>
            </w:r>
          </w:p>
        </w:tc>
      </w:tr>
    </w:tbl>
    <w:p w14:paraId="229E5DB3">
      <w:pPr>
        <w:pStyle w:val="7"/>
        <w:numPr>
          <w:ilvl w:val="0"/>
          <w:numId w:val="1"/>
        </w:numPr>
        <w:tabs>
          <w:tab w:val="left" w:pos="1617"/>
        </w:tabs>
        <w:spacing w:line="600" w:lineRule="exact"/>
        <w:ind w:firstLine="640" w:firstLineChars="200"/>
        <w:rPr>
          <w:rFonts w:ascii="Times New Roman" w:hAnsi="Times New Roman" w:eastAsia="方正黑体简体" w:cs="Times New Roman"/>
          <w:color w:val="000000"/>
          <w:sz w:val="32"/>
          <w:szCs w:val="32"/>
        </w:rPr>
      </w:pPr>
      <w:r>
        <w:rPr>
          <w:rFonts w:ascii="Times New Roman" w:hAnsi="Times New Roman" w:eastAsia="方正黑体简体" w:cs="Times New Roman"/>
          <w:color w:val="000000"/>
          <w:sz w:val="32"/>
          <w:szCs w:val="32"/>
        </w:rPr>
        <w:t>财务预算执行情况</w:t>
      </w:r>
    </w:p>
    <w:p w14:paraId="4E372C7D">
      <w:pPr>
        <w:ind w:firstLine="640" w:firstLineChars="200"/>
        <w:rPr>
          <w:rFonts w:ascii="Times New Roman" w:hAnsi="Times New Roman" w:eastAsia="方正黑体简体" w:cs="Times New Roman"/>
          <w:color w:val="000000"/>
          <w:sz w:val="32"/>
          <w:szCs w:val="32"/>
        </w:rPr>
      </w:pPr>
      <w:r>
        <w:rPr>
          <w:rFonts w:hint="eastAsia" w:ascii="Times New Roman" w:hAnsi="Times New Roman" w:eastAsia="方正仿宋简体" w:cs="Times New Roman"/>
          <w:color w:val="000000"/>
          <w:sz w:val="32"/>
          <w:szCs w:val="32"/>
          <w:lang w:bidi="zh-TW"/>
        </w:rPr>
        <w:t>2024年度，公司实现营业总收入 183 万元，完成年度预算的108 %；实现利润总额 55万元，完成年度预算的 101%；实现净利润 52万元，完成年度预算的 100 %。</w:t>
      </w:r>
    </w:p>
    <w:p w14:paraId="2C7C0553">
      <w:pPr>
        <w:pStyle w:val="7"/>
        <w:numPr>
          <w:ilvl w:val="0"/>
          <w:numId w:val="1"/>
        </w:numPr>
        <w:tabs>
          <w:tab w:val="left" w:pos="1624"/>
        </w:tabs>
        <w:spacing w:line="600" w:lineRule="exact"/>
        <w:ind w:firstLine="640" w:firstLineChars="200"/>
        <w:rPr>
          <w:rFonts w:ascii="Times New Roman" w:hAnsi="Times New Roman" w:eastAsia="方正黑体简体" w:cs="Times New Roman"/>
          <w:color w:val="000000"/>
          <w:sz w:val="32"/>
          <w:szCs w:val="32"/>
          <w:lang w:val="en-US" w:eastAsia="zh-CN"/>
        </w:rPr>
      </w:pPr>
      <w:r>
        <w:rPr>
          <w:rFonts w:hint="eastAsia" w:ascii="Times New Roman" w:hAnsi="Times New Roman" w:eastAsia="方正黑体简体" w:cs="Times New Roman"/>
          <w:color w:val="000000"/>
          <w:sz w:val="32"/>
          <w:szCs w:val="32"/>
          <w:lang w:val="en-US" w:eastAsia="zh-CN"/>
        </w:rPr>
        <w:t>财务会计报告和审计报告摘要</w:t>
      </w:r>
    </w:p>
    <w:p w14:paraId="115FA78D">
      <w:pPr>
        <w:pStyle w:val="7"/>
        <w:tabs>
          <w:tab w:val="left" w:pos="1555"/>
        </w:tabs>
        <w:spacing w:line="600" w:lineRule="exact"/>
        <w:ind w:firstLine="640" w:firstLineChars="200"/>
        <w:rPr>
          <w:rFonts w:hint="eastAsia" w:ascii="方正楷体简体" w:hAnsi="方正楷体简体" w:eastAsia="方正楷体简体" w:cs="方正楷体简体"/>
          <w:sz w:val="32"/>
          <w:szCs w:val="32"/>
          <w:lang w:val="en-US"/>
        </w:rPr>
      </w:pPr>
      <w:r>
        <w:rPr>
          <w:rFonts w:hint="eastAsia" w:ascii="方正楷体简体" w:hAnsi="方正楷体简体" w:eastAsia="方正楷体简体" w:cs="方正楷体简体"/>
          <w:sz w:val="32"/>
          <w:szCs w:val="32"/>
          <w:lang w:val="en-US"/>
        </w:rPr>
        <w:t>（一）审计意见</w:t>
      </w:r>
    </w:p>
    <w:p w14:paraId="210CD07B">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我们审计了山东公用工程管理有限公司《以下简称贵公司》财务报表。包括2024年12月31日的资产负债表，2024年度的利润表、现金流量表、所有者权益变动表以及相关财务报表附注。</w:t>
      </w:r>
    </w:p>
    <w:p w14:paraId="11604BCB">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我们认为，后附的财务报表在所有重大方面按照企业会计准则的规定编制，公允反映了贵公司2024年12月31日的财务状况以及2024年度的经营成果和现金流量。</w:t>
      </w:r>
    </w:p>
    <w:p w14:paraId="4F96CA11">
      <w:pPr>
        <w:pStyle w:val="7"/>
        <w:tabs>
          <w:tab w:val="left" w:pos="1555"/>
        </w:tabs>
        <w:spacing w:line="600" w:lineRule="exact"/>
        <w:ind w:firstLine="640" w:firstLineChars="200"/>
        <w:rPr>
          <w:rFonts w:hint="eastAsia" w:ascii="方正楷体简体" w:hAnsi="方正楷体简体" w:eastAsia="方正楷体简体" w:cs="方正楷体简体"/>
          <w:sz w:val="32"/>
          <w:szCs w:val="32"/>
          <w:lang w:val="en-US"/>
        </w:rPr>
      </w:pPr>
      <w:r>
        <w:rPr>
          <w:rFonts w:hint="eastAsia" w:ascii="方正楷体简体" w:hAnsi="方正楷体简体" w:eastAsia="方正楷体简体" w:cs="方正楷体简体"/>
          <w:sz w:val="32"/>
          <w:szCs w:val="32"/>
          <w:lang w:val="en-US"/>
        </w:rPr>
        <w:t>（二）形成审计意见的基础</w:t>
      </w:r>
    </w:p>
    <w:p w14:paraId="5B42FCCB">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我们按照中国注册会计师审计准则的规定执行了审计工作。审计报告的“注册会计师对财务报表审计的责任”部分进一步阐述了我们在这些准则下的责任。按照中国注册会计师职业道德守则，我们独立于贵公司，并履行了职业道德方面的其他责任。我们相信，我们获取的审计证据是充分，适当的，为发表审计意见</w:t>
      </w:r>
    </w:p>
    <w:p w14:paraId="56EB5840">
      <w:pPr>
        <w:autoSpaceDE w:val="0"/>
        <w:autoSpaceDN w:val="0"/>
        <w:spacing w:line="600" w:lineRule="exact"/>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提供了基础。</w:t>
      </w:r>
    </w:p>
    <w:p w14:paraId="213492AA">
      <w:pPr>
        <w:pStyle w:val="7"/>
        <w:tabs>
          <w:tab w:val="left" w:pos="1555"/>
        </w:tabs>
        <w:spacing w:line="600" w:lineRule="exact"/>
        <w:ind w:firstLine="640" w:firstLineChars="200"/>
        <w:rPr>
          <w:rFonts w:hint="eastAsia" w:ascii="方正楷体简体" w:hAnsi="方正楷体简体" w:eastAsia="方正楷体简体" w:cs="方正楷体简体"/>
          <w:sz w:val="32"/>
          <w:szCs w:val="32"/>
          <w:lang w:val="en-US"/>
        </w:rPr>
      </w:pPr>
      <w:r>
        <w:rPr>
          <w:rFonts w:hint="eastAsia" w:ascii="方正楷体简体" w:hAnsi="方正楷体简体" w:eastAsia="方正楷体简体" w:cs="方正楷体简体"/>
          <w:sz w:val="32"/>
          <w:szCs w:val="32"/>
          <w:lang w:val="en-US"/>
        </w:rPr>
        <w:t>（三）管理层和治理层对财务报表的责任</w:t>
      </w:r>
    </w:p>
    <w:p w14:paraId="77ECEEDE">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贵公司管理层（以下简称管理层）负责按照企业会计准则的规定编制财务报表,使其实现公允反映，并设计、执行和维护必要的内部控制，以使财务报表不存在由于舞弊或错误导致的重大错报。</w:t>
      </w:r>
    </w:p>
    <w:p w14:paraId="12937B02">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在编制财务报表时,管理层负责评估贵公司的持续经营能力，披露与持续经营相关的事项，并运用持续经营假设，除非管理层计划清算贵公司、终止运营或别无其他</w:t>
      </w:r>
      <w:r>
        <w:rPr>
          <w:rFonts w:hint="eastAsia" w:ascii="宋体" w:hAnsi="宋体" w:eastAsia="宋体" w:cs="宋体"/>
          <w:sz w:val="32"/>
          <w:szCs w:val="32"/>
        </w:rPr>
        <w:t>現</w:t>
      </w:r>
      <w:r>
        <w:rPr>
          <w:rFonts w:hint="eastAsia" w:ascii="方正仿宋简体" w:hAnsi="方正仿宋简体" w:eastAsia="方正仿宋简体" w:cs="方正仿宋简体"/>
          <w:sz w:val="32"/>
          <w:szCs w:val="32"/>
        </w:rPr>
        <w:t>实的选择。</w:t>
      </w:r>
    </w:p>
    <w:p w14:paraId="67764CA5">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贵公司治理层（以下简称治理层）负责监督贵公司的财务报告过程。</w:t>
      </w:r>
    </w:p>
    <w:p w14:paraId="7DEC6BF5">
      <w:pPr>
        <w:pStyle w:val="7"/>
        <w:tabs>
          <w:tab w:val="left" w:pos="1555"/>
        </w:tabs>
        <w:spacing w:line="600" w:lineRule="exact"/>
        <w:ind w:firstLine="640" w:firstLineChars="200"/>
        <w:rPr>
          <w:rFonts w:hint="eastAsia" w:ascii="方正楷体简体" w:hAnsi="方正楷体简体" w:eastAsia="方正楷体简体" w:cs="方正楷体简体"/>
          <w:sz w:val="32"/>
          <w:szCs w:val="32"/>
          <w:lang w:val="en-US"/>
        </w:rPr>
      </w:pPr>
      <w:r>
        <w:rPr>
          <w:rFonts w:hint="eastAsia" w:ascii="方正楷体简体" w:hAnsi="方正楷体简体" w:eastAsia="方正楷体简体" w:cs="方正楷体简体"/>
          <w:sz w:val="32"/>
          <w:szCs w:val="32"/>
          <w:lang w:val="en-US"/>
        </w:rPr>
        <w:t>（四）注册会计师对财务报表审计的责任</w:t>
      </w:r>
    </w:p>
    <w:p w14:paraId="2CB497DF">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我们的目标是对财务报表整体是否不存在由于舞弊或错误导政的重大错报获取合理保证，并出具包含审计意见的审计报告。合理保证是高水平的保证，但并不能保证按照审计准</w:t>
      </w:r>
      <w:r>
        <w:rPr>
          <w:rFonts w:hint="eastAsia" w:ascii="宋体" w:hAnsi="宋体" w:eastAsia="宋体" w:cs="宋体"/>
          <w:sz w:val="32"/>
          <w:szCs w:val="32"/>
        </w:rPr>
        <w:t>則</w:t>
      </w:r>
      <w:r>
        <w:rPr>
          <w:rFonts w:hint="eastAsia" w:ascii="方正仿宋简体" w:hAnsi="方正仿宋简体" w:eastAsia="方正仿宋简体" w:cs="方正仿宋简体"/>
          <w:sz w:val="32"/>
          <w:szCs w:val="32"/>
        </w:rPr>
        <w:t>执行的审计在某一重大错报存在时总能发现。错报可能由于舞弊或错误所导致</w:t>
      </w:r>
      <w:r>
        <w:rPr>
          <w:rFonts w:hint="eastAsia" w:ascii="方正仿宋简体" w:hAnsi="Times New Roman" w:eastAsia="方正仿宋简体" w:cs="Times New Roman"/>
          <w:sz w:val="32"/>
          <w:szCs w:val="32"/>
        </w:rPr>
        <w:t>,如果合理预期错报单独或汇总起来可能影响财务报表使用</w:t>
      </w:r>
    </w:p>
    <w:p w14:paraId="63B6054A">
      <w:pPr>
        <w:autoSpaceDE w:val="0"/>
        <w:autoSpaceDN w:val="0"/>
        <w:spacing w:line="600" w:lineRule="exact"/>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者依据财务报表作出的经济决策。则适常认为错报是重大的。</w:t>
      </w:r>
    </w:p>
    <w:p w14:paraId="2A4D0E00">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在按照审计准则执行审计的过程中，我们运用职业判断，并保持职业怀疑。同时，我们也执行以下工作：</w:t>
      </w:r>
    </w:p>
    <w:p w14:paraId="0EDC8035">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1、识别和评估由于舞弊或错误导致的财务报表重大错报风险，设计和实施审计程序以应对这些风险，并获取充分、适当的审计证据，作为发表审计意见的基础。由于舞弊可能涉及串通、伪适、故意遗漏、虚假陈述或凌驾于内部控制之上，未能发现由于舞弊导致的重大错报的风险高于未能发现由于错误导致的重</w:t>
      </w:r>
    </w:p>
    <w:p w14:paraId="760A67E2">
      <w:pPr>
        <w:autoSpaceDE w:val="0"/>
        <w:autoSpaceDN w:val="0"/>
        <w:spacing w:line="600" w:lineRule="exact"/>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大错报的风险。</w:t>
      </w:r>
    </w:p>
    <w:p w14:paraId="3001DA5C">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2、了解与审计相关的内部控制，以设计恰当的审计程序。</w:t>
      </w:r>
    </w:p>
    <w:p w14:paraId="032C2EEF">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3、评价管理层选用会计政策的恰当性和作出会计估计及相关披露的合理性。</w:t>
      </w:r>
    </w:p>
    <w:p w14:paraId="1DA35711">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4、对管理层使用持续经营假设的恰当性得出结论。同时，根据获取的审计证据，就可能导致对贵会司持续经营能力产生重大疑虑的事项或情况是否存在重大不确定性得出结论。如果我们得出结论认为存在重大不确定性，审计准则要求我们在审计报告中提请报表使用者注意财务报表中的相关露；如果被露不充分，我们应当发表非无保留意见。我们的结论基于截至审计报告日可获得的信息。然而,未来的事项或情况可能导致贵公司不能持续经营。</w:t>
      </w:r>
    </w:p>
    <w:p w14:paraId="267C935D">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5、评价财务报表的总体列报、结构和内容，并评价财务报表是否公允反映相关交易和事项。</w:t>
      </w:r>
    </w:p>
    <w:p w14:paraId="51579719">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我们与治理层就计划的审计范围、时间安排和重大事计发现等事项进行沟通，包括沟通我们在审计中识别出的值得关注的内部控制缺陷。</w:t>
      </w:r>
    </w:p>
    <w:p w14:paraId="6CC5095E">
      <w:pPr>
        <w:pStyle w:val="7"/>
        <w:numPr>
          <w:ilvl w:val="0"/>
          <w:numId w:val="1"/>
        </w:numPr>
        <w:tabs>
          <w:tab w:val="left" w:pos="1624"/>
        </w:tabs>
        <w:spacing w:line="600" w:lineRule="exact"/>
        <w:ind w:firstLine="640" w:firstLineChars="200"/>
        <w:rPr>
          <w:rFonts w:ascii="Times New Roman" w:hAnsi="Times New Roman" w:eastAsia="方正黑体简体" w:cs="Times New Roman"/>
          <w:color w:val="000000"/>
          <w:sz w:val="32"/>
          <w:szCs w:val="32"/>
          <w:lang w:val="en-US" w:eastAsia="zh-CN"/>
        </w:rPr>
      </w:pPr>
      <w:r>
        <w:rPr>
          <w:rFonts w:hint="eastAsia" w:ascii="方正黑体简体" w:hAnsi="方正黑体简体" w:eastAsia="方正黑体简体" w:cs="方正黑体简体"/>
          <w:sz w:val="32"/>
          <w:szCs w:val="32"/>
          <w:lang w:val="en-US" w:eastAsia="zh-CN"/>
        </w:rPr>
        <w:t>经理会</w:t>
      </w:r>
      <w:r>
        <w:rPr>
          <w:rFonts w:hint="eastAsia" w:ascii="Times New Roman" w:hAnsi="Times New Roman" w:eastAsia="方正黑体简体" w:cs="Times New Roman"/>
          <w:color w:val="000000"/>
          <w:sz w:val="32"/>
          <w:szCs w:val="32"/>
          <w:lang w:val="en-US" w:eastAsia="zh-CN"/>
        </w:rPr>
        <w:t>报告摘要</w:t>
      </w:r>
    </w:p>
    <w:p w14:paraId="7D0F4829">
      <w:pPr>
        <w:autoSpaceDE w:val="0"/>
        <w:autoSpaceDN w:val="0"/>
        <w:spacing w:line="600" w:lineRule="exact"/>
        <w:ind w:firstLine="640" w:firstLineChars="200"/>
        <w:rPr>
          <w:rFonts w:hint="eastAsia" w:ascii="方正仿宋简体" w:hAnsi="Times New Roman" w:eastAsia="方正仿宋简体" w:cs="Times New Roman"/>
          <w:sz w:val="32"/>
          <w:szCs w:val="32"/>
        </w:rPr>
      </w:pPr>
      <w:r>
        <w:rPr>
          <w:rFonts w:hint="eastAsia" w:ascii="方正仿宋简体" w:hAnsi="Times New Roman" w:eastAsia="方正仿宋简体" w:cs="Times New Roman"/>
          <w:sz w:val="32"/>
          <w:szCs w:val="32"/>
        </w:rPr>
        <w:t>2024年，公司总经理办公会严格依法依规依程序组织召开会议12次，审议通过涉及安全生产、春防试验、评标专家入库、公积金盈余提取、物资采购、管理设备设施维修养护、财务预算等33项重要议题。会议均严格按照项目负责人汇报、集体审议、共同表决的决策制度。严格执行议事流程，一是议题分级</w:t>
      </w:r>
      <w:r>
        <w:rPr>
          <w:rFonts w:ascii="Times New Roman" w:hAnsi="Times New Roman" w:eastAsia="方正仿宋简体" w:cs="Times New Roman"/>
          <w:sz w:val="32"/>
          <w:szCs w:val="32"/>
        </w:rPr>
        <w:t>‌</w:t>
      </w:r>
      <w:r>
        <w:rPr>
          <w:rFonts w:hint="eastAsia" w:ascii="方正仿宋简体" w:hAnsi="方正仿宋简体" w:eastAsia="方正仿宋简体" w:cs="方正仿宋简体"/>
          <w:sz w:val="32"/>
          <w:szCs w:val="32"/>
        </w:rPr>
        <w:t>：常规事项议题</w:t>
      </w:r>
      <w:r>
        <w:rPr>
          <w:rFonts w:hint="eastAsia" w:ascii="方正仿宋简体" w:hAnsi="Times New Roman" w:eastAsia="方正仿宋简体" w:cs="Times New Roman"/>
          <w:sz w:val="32"/>
          <w:szCs w:val="32"/>
        </w:rPr>
        <w:t>、重要事项议题；二是审议材料管控</w:t>
      </w:r>
      <w:r>
        <w:rPr>
          <w:rFonts w:ascii="Times New Roman" w:hAnsi="Times New Roman" w:eastAsia="方正仿宋简体" w:cs="Times New Roman"/>
          <w:sz w:val="32"/>
          <w:szCs w:val="32"/>
        </w:rPr>
        <w:t>‌</w:t>
      </w:r>
      <w:r>
        <w:rPr>
          <w:rFonts w:hint="eastAsia" w:ascii="方正仿宋简体" w:hAnsi="方正仿宋简体" w:eastAsia="方正仿宋简体" w:cs="方正仿宋简体"/>
          <w:sz w:val="32"/>
          <w:szCs w:val="32"/>
        </w:rPr>
        <w:t>：</w:t>
      </w:r>
      <w:r>
        <w:rPr>
          <w:rFonts w:hint="eastAsia" w:ascii="方正仿宋简体" w:hAnsi="Times New Roman" w:eastAsia="方正仿宋简体" w:cs="Times New Roman"/>
          <w:sz w:val="32"/>
          <w:szCs w:val="32"/>
        </w:rPr>
        <w:t>需上会研究材料提前汇总上报，超时未上报本月不予审议；三是决策闭环</w:t>
      </w:r>
      <w:r>
        <w:rPr>
          <w:rFonts w:ascii="Times New Roman" w:hAnsi="Times New Roman" w:eastAsia="方正仿宋简体" w:cs="Times New Roman"/>
          <w:sz w:val="32"/>
          <w:szCs w:val="32"/>
        </w:rPr>
        <w:t>‌</w:t>
      </w:r>
      <w:r>
        <w:rPr>
          <w:rFonts w:hint="eastAsia" w:ascii="方正仿宋简体" w:hAnsi="方正仿宋简体" w:eastAsia="方正仿宋简体" w:cs="方正仿宋简体"/>
          <w:sz w:val="32"/>
          <w:szCs w:val="32"/>
        </w:rPr>
        <w:t>：每项决议需明确“责任人</w:t>
      </w:r>
      <w:r>
        <w:rPr>
          <w:rFonts w:hint="eastAsia" w:ascii="方正仿宋简体" w:hAnsi="Times New Roman" w:eastAsia="方正仿宋简体" w:cs="Times New Roman"/>
          <w:sz w:val="32"/>
          <w:szCs w:val="32"/>
        </w:rPr>
        <w:t>+成果验收”；四是特殊议程</w:t>
      </w:r>
      <w:r>
        <w:rPr>
          <w:rFonts w:ascii="Times New Roman" w:hAnsi="Times New Roman" w:eastAsia="方正仿宋简体" w:cs="Times New Roman"/>
          <w:sz w:val="32"/>
          <w:szCs w:val="32"/>
        </w:rPr>
        <w:t>‌</w:t>
      </w:r>
      <w:r>
        <w:rPr>
          <w:rFonts w:hint="eastAsia" w:ascii="方正仿宋简体" w:hAnsi="方正仿宋简体" w:eastAsia="方正仿宋简体" w:cs="方正仿宋简体"/>
          <w:sz w:val="32"/>
          <w:szCs w:val="32"/>
        </w:rPr>
        <w:t>：涉及“三重一大”事项</w:t>
      </w:r>
      <w:r>
        <w:rPr>
          <w:rFonts w:hint="eastAsia" w:ascii="方正仿宋简体" w:hAnsi="Times New Roman" w:eastAsia="方正仿宋简体" w:cs="Times New Roman"/>
          <w:sz w:val="32"/>
          <w:szCs w:val="32"/>
        </w:rPr>
        <w:t>应提前征求集团党委会的意见及建议。</w:t>
      </w:r>
    </w:p>
    <w:p w14:paraId="2844A01E">
      <w:pPr>
        <w:spacing w:line="600" w:lineRule="exact"/>
        <w:ind w:firstLine="640" w:firstLineChars="200"/>
        <w:rPr>
          <w:rFonts w:ascii="Times New Roman" w:hAnsi="Times New Roman" w:eastAsia="方正黑体简体" w:cs="Times New Roman"/>
          <w:sz w:val="32"/>
          <w:szCs w:val="32"/>
        </w:rPr>
      </w:pPr>
      <w:r>
        <w:rPr>
          <w:rFonts w:hint="eastAsia" w:ascii="Times New Roman" w:hAnsi="Times New Roman" w:eastAsia="方正黑体简体" w:cs="Times New Roman"/>
          <w:color w:val="000000"/>
          <w:sz w:val="32"/>
          <w:szCs w:val="32"/>
        </w:rPr>
        <w:t>六</w:t>
      </w:r>
      <w:r>
        <w:rPr>
          <w:rFonts w:ascii="Times New Roman" w:hAnsi="Times New Roman" w:eastAsia="方正黑体简体" w:cs="Times New Roman"/>
          <w:color w:val="000000"/>
          <w:sz w:val="32"/>
          <w:szCs w:val="32"/>
        </w:rPr>
        <w:t>、</w:t>
      </w:r>
      <w:r>
        <w:rPr>
          <w:rFonts w:hint="eastAsia" w:ascii="Times New Roman" w:hAnsi="Times New Roman" w:eastAsia="方正黑体简体" w:cs="Times New Roman"/>
          <w:color w:val="000000"/>
          <w:sz w:val="32"/>
          <w:szCs w:val="32"/>
        </w:rPr>
        <w:t>年度</w:t>
      </w:r>
      <w:r>
        <w:rPr>
          <w:rFonts w:ascii="Times New Roman" w:hAnsi="Times New Roman" w:eastAsia="方正黑体简体" w:cs="Times New Roman"/>
          <w:color w:val="000000"/>
          <w:sz w:val="32"/>
          <w:szCs w:val="32"/>
        </w:rPr>
        <w:t>内发生的重大事项及对公司的影响</w:t>
      </w:r>
    </w:p>
    <w:p w14:paraId="215D1524">
      <w:pPr>
        <w:pStyle w:val="7"/>
        <w:spacing w:line="600" w:lineRule="exact"/>
        <w:ind w:firstLine="640" w:firstLineChars="200"/>
        <w:rPr>
          <w:rFonts w:ascii="Times New Roman" w:hAnsi="Times New Roman" w:eastAsia="方正仿宋简体" w:cs="Times New Roman"/>
          <w:color w:val="000000"/>
          <w:sz w:val="32"/>
          <w:szCs w:val="32"/>
          <w:lang w:val="en-US" w:eastAsia="zh-CN"/>
        </w:rPr>
      </w:pPr>
      <w:r>
        <w:rPr>
          <w:rFonts w:ascii="Times New Roman" w:hAnsi="Times New Roman" w:eastAsia="方正仿宋简体" w:cs="Times New Roman"/>
          <w:color w:val="000000"/>
          <w:sz w:val="32"/>
          <w:szCs w:val="32"/>
          <w:lang w:val="en-US" w:eastAsia="zh-CN"/>
        </w:rPr>
        <w:t>无</w:t>
      </w:r>
      <w:r>
        <w:rPr>
          <w:rFonts w:hint="eastAsia" w:ascii="Times New Roman" w:hAnsi="Times New Roman" w:eastAsia="方正仿宋简体" w:cs="Times New Roman"/>
          <w:color w:val="000000"/>
          <w:sz w:val="32"/>
          <w:szCs w:val="32"/>
          <w:lang w:val="en-US" w:eastAsia="zh-CN"/>
        </w:rPr>
        <w:t>。</w:t>
      </w:r>
    </w:p>
    <w:p w14:paraId="37E64BDC">
      <w:pPr>
        <w:spacing w:line="600" w:lineRule="exact"/>
        <w:ind w:firstLine="640" w:firstLineChars="200"/>
        <w:rPr>
          <w:rFonts w:ascii="Times New Roman" w:hAnsi="Times New Roman" w:eastAsia="方正仿宋简体" w:cs="Times New Roman"/>
          <w:sz w:val="32"/>
          <w:szCs w:val="32"/>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Arial Unicode MS"/>
    <w:panose1 w:val="02000000000000000000"/>
    <w:charset w:val="86"/>
    <w:family w:val="auto"/>
    <w:pitch w:val="default"/>
    <w:sig w:usb0="00000000" w:usb1="00000000" w:usb2="00000012" w:usb3="00000000" w:csb0="00040001" w:csb1="00000000"/>
  </w:font>
  <w:font w:name="Arial Unicode MS">
    <w:panose1 w:val="020B0604020202020204"/>
    <w:charset w:val="86"/>
    <w:family w:val="auto"/>
    <w:pitch w:val="default"/>
    <w:sig w:usb0="FFFFFFFF" w:usb1="E9FFFFFF" w:usb2="0000003F" w:usb3="00000000" w:csb0="603F01FF" w:csb1="FFFF0000"/>
  </w:font>
  <w:font w:name="方正黑体简体">
    <w:altName w:val="Arial Unicode MS"/>
    <w:panose1 w:val="03000509000000000000"/>
    <w:charset w:val="86"/>
    <w:family w:val="script"/>
    <w:pitch w:val="default"/>
    <w:sig w:usb0="00000000" w:usb1="00000000" w:usb2="00000010" w:usb3="00000000" w:csb0="00040000" w:csb1="00000000"/>
  </w:font>
  <w:font w:name="方正仿宋简体">
    <w:altName w:val="Arial Unicode MS"/>
    <w:panose1 w:val="02010601030101010101"/>
    <w:charset w:val="86"/>
    <w:family w:val="auto"/>
    <w:pitch w:val="default"/>
    <w:sig w:usb0="00000000" w:usb1="00000000" w:usb2="00000010" w:usb3="00000000" w:csb0="00040000" w:csb1="00000000"/>
  </w:font>
  <w:font w:name="方正楷体简体">
    <w:altName w:val="宋体"/>
    <w:panose1 w:val="03000509000000000000"/>
    <w:charset w:val="86"/>
    <w:family w:val="script"/>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4BD7BCE"/>
    <w:multiLevelType w:val="singleLevel"/>
    <w:tmpl w:val="F4BD7BCE"/>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RlNTlkMmJlMmUxZDUwYzA1MDA0NzA2NGFhN2RiMWUifQ=="/>
  </w:docVars>
  <w:rsids>
    <w:rsidRoot w:val="0049274D"/>
    <w:rsid w:val="00294C75"/>
    <w:rsid w:val="002D7F90"/>
    <w:rsid w:val="00356192"/>
    <w:rsid w:val="0049274D"/>
    <w:rsid w:val="005953D1"/>
    <w:rsid w:val="006A0246"/>
    <w:rsid w:val="00981A4B"/>
    <w:rsid w:val="00FB0429"/>
    <w:rsid w:val="04A844E4"/>
    <w:rsid w:val="04D728EB"/>
    <w:rsid w:val="06A51477"/>
    <w:rsid w:val="0BAF67CA"/>
    <w:rsid w:val="0D2E7AC3"/>
    <w:rsid w:val="13AE616E"/>
    <w:rsid w:val="20ED3B94"/>
    <w:rsid w:val="25587FAA"/>
    <w:rsid w:val="28AA222B"/>
    <w:rsid w:val="2A7464BE"/>
    <w:rsid w:val="3AB4755E"/>
    <w:rsid w:val="40EB7E95"/>
    <w:rsid w:val="418F6A8A"/>
    <w:rsid w:val="48C43A90"/>
    <w:rsid w:val="538B277B"/>
    <w:rsid w:val="5488307C"/>
    <w:rsid w:val="54CC5B55"/>
    <w:rsid w:val="578B441D"/>
    <w:rsid w:val="58DB4375"/>
    <w:rsid w:val="64AE3C76"/>
    <w:rsid w:val="64D11F7B"/>
    <w:rsid w:val="66E14363"/>
    <w:rsid w:val="695F606D"/>
    <w:rsid w:val="6B241DB7"/>
    <w:rsid w:val="6B756129"/>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footer"/>
    <w:basedOn w:val="1"/>
    <w:link w:val="9"/>
    <w:uiPriority w:val="0"/>
    <w:pPr>
      <w:tabs>
        <w:tab w:val="center" w:pos="4153"/>
        <w:tab w:val="right" w:pos="8306"/>
      </w:tabs>
      <w:snapToGrid w:val="0"/>
      <w:jc w:val="left"/>
    </w:pPr>
    <w:rPr>
      <w:sz w:val="18"/>
      <w:szCs w:val="18"/>
    </w:rPr>
  </w:style>
  <w:style w:type="paragraph" w:styleId="4">
    <w:name w:val="header"/>
    <w:basedOn w:val="1"/>
    <w:link w:val="8"/>
    <w:uiPriority w:val="0"/>
    <w:pPr>
      <w:tabs>
        <w:tab w:val="center" w:pos="4153"/>
        <w:tab w:val="right" w:pos="8306"/>
      </w:tabs>
      <w:snapToGrid w:val="0"/>
      <w:jc w:val="center"/>
    </w:pPr>
    <w:rPr>
      <w:sz w:val="18"/>
      <w:szCs w:val="18"/>
    </w:rPr>
  </w:style>
  <w:style w:type="paragraph" w:customStyle="1" w:styleId="7">
    <w:name w:val="Body text|1"/>
    <w:basedOn w:val="1"/>
    <w:qFormat/>
    <w:uiPriority w:val="0"/>
    <w:pPr>
      <w:spacing w:line="420" w:lineRule="auto"/>
      <w:ind w:firstLine="400"/>
    </w:pPr>
    <w:rPr>
      <w:rFonts w:ascii="宋体" w:hAnsi="宋体" w:eastAsia="宋体" w:cs="宋体"/>
      <w:sz w:val="30"/>
      <w:szCs w:val="30"/>
      <w:lang w:val="zh-TW" w:eastAsia="zh-TW" w:bidi="zh-TW"/>
    </w:rPr>
  </w:style>
  <w:style w:type="character" w:customStyle="1" w:styleId="8">
    <w:name w:val="页眉 字符"/>
    <w:basedOn w:val="6"/>
    <w:link w:val="4"/>
    <w:uiPriority w:val="0"/>
    <w:rPr>
      <w:rFonts w:asciiTheme="minorHAnsi" w:hAnsiTheme="minorHAnsi" w:eastAsiaTheme="minorEastAsia" w:cstheme="minorBidi"/>
      <w:kern w:val="2"/>
      <w:sz w:val="18"/>
      <w:szCs w:val="18"/>
    </w:rPr>
  </w:style>
  <w:style w:type="character" w:customStyle="1" w:styleId="9">
    <w:name w:val="页脚 字符"/>
    <w:basedOn w:val="6"/>
    <w:link w:val="3"/>
    <w:uiPriority w:val="0"/>
    <w:rPr>
      <w:rFonts w:asciiTheme="minorHAnsi" w:hAnsiTheme="minorHAnsi" w:eastAsiaTheme="minorEastAsia" w:cstheme="minorBidi"/>
      <w:kern w:val="2"/>
      <w:sz w:val="18"/>
      <w:szCs w:val="18"/>
    </w:rPr>
  </w:style>
  <w:style w:type="paragraph" w:styleId="10">
    <w:name w:val="List Paragraph"/>
    <w:basedOn w:val="1"/>
    <w:unhideWhenUsed/>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2216</Words>
  <Characters>2269</Characters>
  <Lines>66</Lines>
  <Paragraphs>63</Paragraphs>
  <TotalTime>1</TotalTime>
  <ScaleCrop>false</ScaleCrop>
  <LinksUpToDate>false</LinksUpToDate>
  <CharactersWithSpaces>2283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李</cp:lastModifiedBy>
  <cp:lastPrinted>2023-08-28T03:22:00Z</cp:lastPrinted>
  <dcterms:modified xsi:type="dcterms:W3CDTF">2025-06-24T08:31:23Z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25B96A6E02B8402AA1636B0EEAD516F1_13</vt:lpwstr>
  </property>
  <property fmtid="{D5CDD505-2E9C-101B-9397-08002B2CF9AE}" pid="4" name="KSOTemplateDocerSaveRecord">
    <vt:lpwstr>eyJoZGlkIjoiNTk1Y2Q5M2M3NGJiMGY2OWE4NTY0M2M0ZWU2NTE2MWEiLCJ1c2VySWQiOiIzNDczMDQ3MjgifQ==</vt:lpwstr>
  </property>
</Properties>
</file>