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75A26">
      <w:pPr>
        <w:pStyle w:val="3"/>
        <w:keepNext w:val="0"/>
        <w:keepLines w:val="0"/>
        <w:pageBreakBefore w:val="0"/>
        <w:widowControl w:val="0"/>
        <w:kinsoku/>
        <w:wordWrap/>
        <w:overflowPunct/>
        <w:topLinePunct w:val="0"/>
        <w:autoSpaceDE w:val="0"/>
        <w:autoSpaceDN w:val="0"/>
        <w:bidi w:val="0"/>
        <w:adjustRightInd/>
        <w:snapToGrid/>
        <w:spacing w:line="800" w:lineRule="exact"/>
        <w:jc w:val="center"/>
        <w:textAlignment w:val="auto"/>
        <w:rPr>
          <w:rFonts w:hint="default"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济宁市中正工程监理有限责任公司</w:t>
      </w:r>
    </w:p>
    <w:p w14:paraId="0183C325">
      <w:pPr>
        <w:pStyle w:val="3"/>
        <w:keepNext w:val="0"/>
        <w:keepLines w:val="0"/>
        <w:pageBreakBefore w:val="0"/>
        <w:widowControl w:val="0"/>
        <w:kinsoku/>
        <w:wordWrap/>
        <w:overflowPunct/>
        <w:topLinePunct w:val="0"/>
        <w:autoSpaceDE w:val="0"/>
        <w:autoSpaceDN w:val="0"/>
        <w:bidi w:val="0"/>
        <w:adjustRightInd/>
        <w:snapToGrid/>
        <w:spacing w:line="800" w:lineRule="exact"/>
        <w:jc w:val="center"/>
        <w:textAlignment w:val="auto"/>
        <w:rPr>
          <w:rFonts w:hint="eastAsia" w:ascii="Times New Roman" w:hAnsi="Times New Roman" w:eastAsia="方正小标宋简体" w:cs="Times New Roman"/>
          <w:b w:val="0"/>
          <w:bCs w:val="0"/>
          <w:sz w:val="44"/>
          <w:szCs w:val="44"/>
          <w:lang w:val="en-US" w:eastAsia="zh-CN"/>
        </w:rPr>
      </w:pPr>
      <w:r>
        <w:rPr>
          <w:rFonts w:hint="default" w:ascii="Times New Roman" w:hAnsi="Times New Roman" w:eastAsia="方正小标宋简体" w:cs="Times New Roman"/>
          <w:b w:val="0"/>
          <w:bCs w:val="0"/>
          <w:sz w:val="44"/>
          <w:szCs w:val="44"/>
          <w:lang w:val="en-US" w:eastAsia="zh-CN"/>
        </w:rPr>
        <w:t>2024年度</w:t>
      </w:r>
      <w:r>
        <w:rPr>
          <w:rFonts w:hint="default" w:ascii="Times New Roman" w:hAnsi="Times New Roman" w:eastAsia="方正小标宋简体" w:cs="Times New Roman"/>
          <w:b w:val="0"/>
          <w:bCs w:val="0"/>
          <w:sz w:val="44"/>
          <w:szCs w:val="44"/>
          <w:lang w:val="en-US"/>
        </w:rPr>
        <w:t>财务等重大信息公</w:t>
      </w:r>
      <w:r>
        <w:rPr>
          <w:rFonts w:hint="eastAsia" w:ascii="Times New Roman" w:hAnsi="Times New Roman" w:eastAsia="方正小标宋简体" w:cs="Times New Roman"/>
          <w:b w:val="0"/>
          <w:bCs w:val="0"/>
          <w:sz w:val="44"/>
          <w:szCs w:val="44"/>
          <w:lang w:val="en-US" w:eastAsia="zh-CN"/>
        </w:rPr>
        <w:t>开</w:t>
      </w:r>
    </w:p>
    <w:p w14:paraId="3DF4365D">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方正黑体简体" w:cs="Times New Roman"/>
          <w:b w:val="0"/>
          <w:bCs w:val="0"/>
          <w:lang w:val="en-US"/>
        </w:rPr>
      </w:pPr>
      <w:r>
        <w:rPr>
          <w:rFonts w:hint="default" w:ascii="Times New Roman" w:hAnsi="Times New Roman" w:eastAsia="方正黑体简体" w:cs="Times New Roman"/>
          <w:b w:val="0"/>
          <w:bCs w:val="0"/>
          <w:lang w:val="en-US"/>
        </w:rPr>
        <w:t>公司基本情况</w:t>
      </w:r>
    </w:p>
    <w:p w14:paraId="34AF0890">
      <w:pPr>
        <w:pStyle w:val="3"/>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方正楷体简体" w:cs="Times New Roman"/>
          <w:b w:val="0"/>
          <w:bCs w:val="0"/>
          <w:lang w:val="en-US"/>
        </w:rPr>
      </w:pPr>
      <w:r>
        <w:rPr>
          <w:rFonts w:hint="default" w:ascii="Times New Roman" w:hAnsi="Times New Roman" w:eastAsia="方正楷体简体" w:cs="Times New Roman"/>
          <w:b w:val="0"/>
          <w:bCs w:val="0"/>
          <w:lang w:val="en-US"/>
        </w:rPr>
        <w:t>（一）基本信息</w:t>
      </w:r>
    </w:p>
    <w:p w14:paraId="38FB7075">
      <w:pPr>
        <w:pStyle w:val="1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公司名称：济宁市中正工程监理有限责任公司</w:t>
      </w:r>
    </w:p>
    <w:p w14:paraId="73A2E90E">
      <w:pPr>
        <w:pStyle w:val="1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类    型：有限责任公司(非自然人投资或控股的法人独资)</w:t>
      </w:r>
    </w:p>
    <w:p w14:paraId="59BD1D8B">
      <w:pPr>
        <w:pStyle w:val="1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法定代表人：王汉捷</w:t>
      </w:r>
    </w:p>
    <w:p w14:paraId="63B1D8DC">
      <w:pPr>
        <w:pStyle w:val="1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注册资金：伍佰万元整</w:t>
      </w:r>
    </w:p>
    <w:p w14:paraId="5E81A4BA">
      <w:pPr>
        <w:pStyle w:val="1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注册地址：山东省济宁市任城区仙营街道共青团路14号健身广场综合楼12楼</w:t>
      </w:r>
    </w:p>
    <w:p w14:paraId="7946E2F8">
      <w:pPr>
        <w:pStyle w:val="3"/>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方正仿宋简体" w:cs="Times New Roman"/>
          <w:b w:val="0"/>
          <w:bCs w:val="0"/>
          <w:lang w:val="en-US"/>
        </w:rPr>
      </w:pPr>
      <w:r>
        <w:rPr>
          <w:rFonts w:hint="default" w:ascii="Times New Roman" w:hAnsi="Times New Roman" w:eastAsia="方正仿宋简体" w:cs="Times New Roman"/>
          <w:b w:val="0"/>
          <w:bCs w:val="0"/>
          <w:color w:val="000000"/>
          <w:spacing w:val="0"/>
          <w:w w:val="100"/>
          <w:position w:val="0"/>
          <w:sz w:val="32"/>
          <w:szCs w:val="32"/>
          <w:lang w:val="en-US" w:eastAsia="zh-CN"/>
        </w:rPr>
        <w:t>经营范围：许可项目：建设工程监理</w:t>
      </w:r>
      <w:r>
        <w:rPr>
          <w:rFonts w:hint="eastAsia" w:ascii="Times New Roman" w:hAnsi="Times New Roman" w:eastAsia="方正仿宋简体" w:cs="Times New Roman"/>
          <w:b w:val="0"/>
          <w:bCs w:val="0"/>
          <w:color w:val="000000"/>
          <w:spacing w:val="0"/>
          <w:w w:val="100"/>
          <w:position w:val="0"/>
          <w:sz w:val="32"/>
          <w:szCs w:val="32"/>
          <w:lang w:val="en-US" w:eastAsia="zh-CN"/>
        </w:rPr>
        <w:t>；</w:t>
      </w:r>
      <w:r>
        <w:rPr>
          <w:rFonts w:hint="default" w:ascii="Times New Roman" w:hAnsi="Times New Roman" w:eastAsia="方正仿宋简体" w:cs="Times New Roman"/>
          <w:b w:val="0"/>
          <w:bCs w:val="0"/>
          <w:color w:val="000000"/>
          <w:spacing w:val="0"/>
          <w:w w:val="100"/>
          <w:position w:val="0"/>
          <w:sz w:val="32"/>
          <w:szCs w:val="32"/>
          <w:lang w:val="en-US" w:eastAsia="zh-CN"/>
        </w:rPr>
        <w:t>水利工程建设监理。（依法须经批准的项目，经相关部门批准后方可开展经营活动，具体经营项目以相关部门批准文件或许可证件为准）。一般项目：工程技术服务(规划管理，勘察、设计、监理除外)</w:t>
      </w:r>
      <w:r>
        <w:rPr>
          <w:rFonts w:hint="eastAsia" w:ascii="Times New Roman" w:hAnsi="Times New Roman" w:eastAsia="方正仿宋简体" w:cs="Times New Roman"/>
          <w:b w:val="0"/>
          <w:bCs w:val="0"/>
          <w:color w:val="000000"/>
          <w:spacing w:val="0"/>
          <w:w w:val="100"/>
          <w:position w:val="0"/>
          <w:sz w:val="32"/>
          <w:szCs w:val="32"/>
          <w:lang w:val="en-US" w:eastAsia="zh-CN"/>
        </w:rPr>
        <w:t>；</w:t>
      </w:r>
      <w:bookmarkStart w:id="0" w:name="_GoBack"/>
      <w:bookmarkEnd w:id="0"/>
      <w:r>
        <w:rPr>
          <w:rFonts w:hint="default" w:ascii="Times New Roman" w:hAnsi="Times New Roman" w:eastAsia="方正仿宋简体" w:cs="Times New Roman"/>
          <w:b w:val="0"/>
          <w:bCs w:val="0"/>
          <w:color w:val="000000"/>
          <w:spacing w:val="0"/>
          <w:w w:val="100"/>
          <w:position w:val="0"/>
          <w:sz w:val="32"/>
          <w:szCs w:val="32"/>
          <w:lang w:val="en-US" w:eastAsia="zh-CN"/>
        </w:rPr>
        <w:t>工程造价咨询业务。（除依法须经批准的项目外，凭营业执照依法自主开展经营活动）。</w:t>
      </w:r>
    </w:p>
    <w:p w14:paraId="7737E875">
      <w:pPr>
        <w:pStyle w:val="3"/>
        <w:keepNext w:val="0"/>
        <w:keepLines w:val="0"/>
        <w:pageBreakBefore w:val="0"/>
        <w:widowControl w:val="0"/>
        <w:numPr>
          <w:ilvl w:val="0"/>
          <w:numId w:val="2"/>
        </w:numPr>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方正楷体简体" w:cs="Times New Roman"/>
          <w:b w:val="0"/>
          <w:bCs w:val="0"/>
          <w:lang w:val="en-US"/>
        </w:rPr>
      </w:pPr>
      <w:r>
        <w:rPr>
          <w:rFonts w:hint="default" w:ascii="Times New Roman" w:hAnsi="Times New Roman" w:eastAsia="方正楷体简体" w:cs="Times New Roman"/>
          <w:b w:val="0"/>
          <w:bCs w:val="0"/>
          <w:lang w:val="en-US"/>
        </w:rPr>
        <w:t>公司简介</w:t>
      </w:r>
    </w:p>
    <w:p w14:paraId="060923FE">
      <w:pPr>
        <w:pStyle w:val="15"/>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0" w:firstLineChars="200"/>
        <w:jc w:val="both"/>
        <w:textAlignment w:val="auto"/>
        <w:rPr>
          <w:rFonts w:hint="default" w:ascii="Times New Roman" w:hAnsi="Times New Roman" w:eastAsia="方正仿宋简体" w:cs="Times New Roman"/>
          <w:b w:val="0"/>
          <w:bCs w:val="0"/>
          <w:color w:val="000000"/>
          <w:spacing w:val="0"/>
          <w:w w:val="100"/>
          <w:position w:val="0"/>
          <w:sz w:val="32"/>
          <w:szCs w:val="32"/>
          <w:lang w:val="en-US" w:eastAsia="zh-CN"/>
        </w:rPr>
      </w:pPr>
      <w:r>
        <w:rPr>
          <w:rFonts w:hint="default" w:ascii="Times New Roman" w:hAnsi="Times New Roman" w:eastAsia="方正仿宋简体" w:cs="Times New Roman"/>
          <w:b w:val="0"/>
          <w:bCs w:val="0"/>
          <w:color w:val="000000"/>
          <w:spacing w:val="0"/>
          <w:w w:val="100"/>
          <w:position w:val="0"/>
          <w:sz w:val="32"/>
          <w:szCs w:val="32"/>
          <w:lang w:val="en-US" w:eastAsia="zh-CN"/>
        </w:rPr>
        <w:t>济宁市中正工程监理有限责任公司成立于2009年3月，具有水利部批准的水利工程施工监理甲级、水土保持工程施工监理乙级资质和建设部批准的房屋建筑工程监理乙级、市政公用工程监理乙级资质，是中国水利工程协会会员单位。公司于2020年11月通过SO9001质量体系、ISO14001环境管理体系、OHSAS18001职业健康安全管理体系认证。</w:t>
      </w:r>
    </w:p>
    <w:p w14:paraId="43F982A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楷体简体" w:cs="Times New Roman"/>
          <w:b w:val="0"/>
          <w:bCs w:val="0"/>
          <w:lang w:val="en-US"/>
        </w:rPr>
      </w:pPr>
      <w:r>
        <w:rPr>
          <w:rFonts w:hint="default" w:ascii="Times New Roman" w:hAnsi="Times New Roman" w:eastAsia="方正仿宋简体" w:cs="Times New Roman"/>
          <w:b w:val="0"/>
          <w:bCs w:val="0"/>
          <w:color w:val="000000"/>
          <w:spacing w:val="0"/>
          <w:w w:val="100"/>
          <w:position w:val="0"/>
          <w:sz w:val="32"/>
          <w:szCs w:val="32"/>
          <w:lang w:val="en-US" w:eastAsia="zh-CN"/>
        </w:rPr>
        <w:t>公司自成立以来，已监理过的水利工程项目和水土保持项目共有三百余项，2016 年3月，被水利部评为“水利建设市场主体信用评价AAA 级”单位；2017年获得济宁市工商行政管理局颁发的“重合同守信用”企业；2019年被济宁市水利协会评为“优秀企业”。润泽中正监理QC小组课题提高污水处理厂曝气滤池预埋Q235-B碳钢套管安装一次性合格率获得中国水利工程协会2024年度水利工程优秀质量管理小组成果Ⅲ类成果称号。泗水县泗河黄阴集大闸除险加固工程荣获2021年度山东省水利厅、山东省总工会颁发的“优质工程奖”和山东省住建厅颁发的“山东省建筑工程优质结构”奖等。济宁市洸府河治理工程（任城区段）、聊城市阳谷县引黄灌区农业节水工程（2021年）荣获2022年山东省水利厅、山东省总工会颁发的“文明工地”称号。泗水县泗河岳陵拦河闸工程、曲阜尼山白村坝工程荣获2023年度全省重点水利工程建设“争进度、赛质量，比担当、创精品”创新创优劳动竞赛文明工地称号。2023年2月被济宁市城乡水务局授予水利安全生产标准化三级单位。</w:t>
      </w:r>
    </w:p>
    <w:p w14:paraId="4BAEC6BA">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方正黑体简体" w:cs="Times New Roman"/>
          <w:b w:val="0"/>
          <w:bCs w:val="0"/>
          <w:lang w:val="en-US" w:eastAsia="zh-CN"/>
        </w:rPr>
      </w:pPr>
      <w:r>
        <w:rPr>
          <w:rFonts w:hint="default" w:ascii="Times New Roman" w:hAnsi="Times New Roman" w:eastAsia="方正黑体简体" w:cs="Times New Roman"/>
          <w:b w:val="0"/>
          <w:bCs w:val="0"/>
          <w:lang w:val="en-US" w:eastAsia="zh-CN"/>
        </w:rPr>
        <w:t>二、主要会计数据和财务指标</w:t>
      </w:r>
    </w:p>
    <w:p w14:paraId="59EB4833">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leftChars="200"/>
        <w:jc w:val="center"/>
        <w:textAlignment w:val="auto"/>
        <w:rPr>
          <w:rFonts w:hint="default" w:ascii="Times New Roman" w:hAnsi="Times New Roman" w:eastAsia="方正黑体简体" w:cs="Times New Roman"/>
          <w:b w:val="0"/>
          <w:bCs w:val="0"/>
          <w:sz w:val="32"/>
          <w:szCs w:val="32"/>
          <w:lang w:val="en-US" w:eastAsia="zh-CN" w:bidi="zh-CN"/>
        </w:rPr>
      </w:pPr>
      <w:r>
        <w:rPr>
          <w:rFonts w:hint="default" w:ascii="Times New Roman" w:hAnsi="Times New Roman" w:eastAsia="方正黑体简体" w:cs="Times New Roman"/>
          <w:b w:val="0"/>
          <w:bCs w:val="0"/>
          <w:sz w:val="32"/>
          <w:szCs w:val="32"/>
          <w:lang w:val="en-US" w:eastAsia="zh-CN" w:bidi="zh-CN"/>
        </w:rPr>
        <w:t>2024年度主要财务数据</w:t>
      </w:r>
    </w:p>
    <w:p w14:paraId="7FA8F721">
      <w:pPr>
        <w:pStyle w:val="15"/>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default" w:ascii="Times New Roman" w:hAnsi="Times New Roman" w:eastAsia="方正楷体简体" w:cs="Times New Roman"/>
          <w:b/>
          <w:bCs/>
          <w:color w:val="000000"/>
          <w:spacing w:val="0"/>
          <w:w w:val="100"/>
          <w:position w:val="0"/>
          <w:sz w:val="32"/>
          <w:szCs w:val="32"/>
        </w:rPr>
      </w:pPr>
      <w:r>
        <w:rPr>
          <w:rFonts w:hint="default" w:ascii="Times New Roman" w:hAnsi="Times New Roman" w:eastAsia="方正楷体简体" w:cs="Times New Roman"/>
          <w:b w:val="0"/>
          <w:bCs w:val="0"/>
          <w:lang w:val="en-US" w:eastAsia="zh-CN"/>
        </w:rPr>
        <w:t>金额单位：人民币万元</w:t>
      </w:r>
    </w:p>
    <w:tbl>
      <w:tblPr>
        <w:tblStyle w:val="8"/>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528"/>
        <w:gridCol w:w="2906"/>
        <w:gridCol w:w="2906"/>
      </w:tblGrid>
      <w:tr w14:paraId="2B125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C0BFC2C">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982E9E">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52363F">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上年同期金额</w:t>
            </w:r>
          </w:p>
        </w:tc>
      </w:tr>
      <w:tr w14:paraId="1735B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90557FB">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65C5BBAE">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111</w:t>
            </w:r>
            <w:r>
              <w:rPr>
                <w:rFonts w:hint="eastAsia" w:ascii="Times New Roman" w:hAnsi="Times New Roman" w:eastAsia="方正仿宋简体" w:cs="Times New Roman"/>
                <w:i w:val="0"/>
                <w:iCs w:val="0"/>
                <w:color w:val="000000"/>
                <w:sz w:val="32"/>
                <w:szCs w:val="32"/>
                <w:u w:val="none"/>
                <w:lang w:val="en-US" w:eastAsia="zh-CN"/>
              </w:rPr>
              <w:t>4</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089611AD">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101</w:t>
            </w:r>
            <w:r>
              <w:rPr>
                <w:rFonts w:hint="eastAsia" w:ascii="Times New Roman" w:hAnsi="Times New Roman" w:eastAsia="方正仿宋简体" w:cs="Times New Roman"/>
                <w:i w:val="0"/>
                <w:iCs w:val="0"/>
                <w:color w:val="000000"/>
                <w:sz w:val="32"/>
                <w:szCs w:val="32"/>
                <w:u w:val="none"/>
                <w:lang w:val="en-US" w:eastAsia="zh-CN"/>
              </w:rPr>
              <w:t>6</w:t>
            </w:r>
          </w:p>
        </w:tc>
      </w:tr>
      <w:tr w14:paraId="7511A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5E7FD95">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032220C5">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834</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0FF56089">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75</w:t>
            </w:r>
            <w:r>
              <w:rPr>
                <w:rFonts w:hint="eastAsia" w:ascii="Times New Roman" w:hAnsi="Times New Roman" w:eastAsia="方正仿宋简体" w:cs="Times New Roman"/>
                <w:i w:val="0"/>
                <w:iCs w:val="0"/>
                <w:color w:val="000000"/>
                <w:sz w:val="32"/>
                <w:szCs w:val="32"/>
                <w:u w:val="none"/>
                <w:lang w:val="en-US" w:eastAsia="zh-CN"/>
              </w:rPr>
              <w:t>5</w:t>
            </w:r>
          </w:p>
        </w:tc>
      </w:tr>
      <w:tr w14:paraId="7108C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F68BAD2">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6C6F0B82">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281</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0E3A9383">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261</w:t>
            </w:r>
          </w:p>
        </w:tc>
      </w:tr>
      <w:tr w14:paraId="056901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24E43B5">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6C22E556">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154</w:t>
            </w:r>
            <w:r>
              <w:rPr>
                <w:rFonts w:hint="eastAsia" w:ascii="Times New Roman" w:hAnsi="Times New Roman" w:eastAsia="方正仿宋简体" w:cs="Times New Roman"/>
                <w:i w:val="0"/>
                <w:iCs w:val="0"/>
                <w:color w:val="000000"/>
                <w:sz w:val="32"/>
                <w:szCs w:val="32"/>
                <w:u w:val="none"/>
                <w:lang w:val="en-US" w:eastAsia="zh-CN"/>
              </w:rPr>
              <w:t>4</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55C92D26">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117</w:t>
            </w:r>
            <w:r>
              <w:rPr>
                <w:rFonts w:hint="eastAsia" w:ascii="Times New Roman" w:hAnsi="Times New Roman" w:eastAsia="方正仿宋简体" w:cs="Times New Roman"/>
                <w:i w:val="0"/>
                <w:iCs w:val="0"/>
                <w:color w:val="000000"/>
                <w:sz w:val="32"/>
                <w:szCs w:val="32"/>
                <w:u w:val="none"/>
                <w:lang w:val="en-US" w:eastAsia="zh-CN"/>
              </w:rPr>
              <w:t>3</w:t>
            </w:r>
          </w:p>
        </w:tc>
      </w:tr>
      <w:tr w14:paraId="050D1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855B8B3">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3FD4A4C6">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37</w:t>
            </w:r>
            <w:r>
              <w:rPr>
                <w:rFonts w:hint="eastAsia" w:ascii="Times New Roman" w:hAnsi="Times New Roman" w:eastAsia="方正仿宋简体" w:cs="Times New Roman"/>
                <w:i w:val="0"/>
                <w:iCs w:val="0"/>
                <w:color w:val="000000"/>
                <w:sz w:val="32"/>
                <w:szCs w:val="32"/>
                <w:u w:val="none"/>
                <w:lang w:val="en-US" w:eastAsia="zh-CN"/>
              </w:rPr>
              <w:t>5</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563B124B">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27</w:t>
            </w:r>
            <w:r>
              <w:rPr>
                <w:rFonts w:hint="eastAsia" w:ascii="Times New Roman" w:hAnsi="Times New Roman" w:eastAsia="方正仿宋简体" w:cs="Times New Roman"/>
                <w:i w:val="0"/>
                <w:iCs w:val="0"/>
                <w:color w:val="000000"/>
                <w:sz w:val="32"/>
                <w:szCs w:val="32"/>
                <w:u w:val="none"/>
                <w:lang w:val="en-US" w:eastAsia="zh-CN"/>
              </w:rPr>
              <w:t>1</w:t>
            </w:r>
          </w:p>
        </w:tc>
      </w:tr>
      <w:tr w14:paraId="3CE94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456587A">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rPr>
            </w:pPr>
            <w:r>
              <w:rPr>
                <w:rFonts w:hint="default" w:ascii="Times New Roman" w:hAnsi="Times New Roman" w:eastAsia="方正仿宋简体" w:cs="Times New Roman"/>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3AC1D3F0">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116</w:t>
            </w:r>
            <w:r>
              <w:rPr>
                <w:rFonts w:hint="eastAsia" w:ascii="Times New Roman" w:hAnsi="Times New Roman" w:eastAsia="方正仿宋简体" w:cs="Times New Roman"/>
                <w:i w:val="0"/>
                <w:iCs w:val="0"/>
                <w:color w:val="000000"/>
                <w:sz w:val="32"/>
                <w:szCs w:val="32"/>
                <w:u w:val="none"/>
                <w:lang w:val="en-US" w:eastAsia="zh-CN"/>
              </w:rPr>
              <w:t>9</w:t>
            </w:r>
          </w:p>
        </w:tc>
        <w:tc>
          <w:tcPr>
            <w:tcW w:w="2906" w:type="dxa"/>
            <w:tcBorders>
              <w:top w:val="single" w:color="000000" w:sz="4" w:space="0"/>
              <w:left w:val="single" w:color="000000" w:sz="4" w:space="0"/>
              <w:bottom w:val="single" w:color="000000" w:sz="4" w:space="0"/>
              <w:right w:val="single" w:color="000000" w:sz="4" w:space="0"/>
            </w:tcBorders>
            <w:noWrap/>
            <w:vAlign w:val="center"/>
          </w:tcPr>
          <w:p w14:paraId="5716E2D0">
            <w:pPr>
              <w:keepNext w:val="0"/>
              <w:keepLines w:val="0"/>
              <w:pageBreakBefore w:val="0"/>
              <w:widowControl/>
              <w:suppressLineNumbers w:val="0"/>
              <w:kinsoku/>
              <w:wordWrap/>
              <w:overflowPunct/>
              <w:topLinePunct w:val="0"/>
              <w:bidi w:val="0"/>
              <w:spacing w:line="600" w:lineRule="exact"/>
              <w:jc w:val="center"/>
              <w:textAlignment w:val="center"/>
              <w:rPr>
                <w:rFonts w:hint="default" w:ascii="Times New Roman" w:hAnsi="Times New Roman" w:eastAsia="方正仿宋简体" w:cs="Times New Roman"/>
                <w:i w:val="0"/>
                <w:iCs w:val="0"/>
                <w:color w:val="000000"/>
                <w:sz w:val="32"/>
                <w:szCs w:val="32"/>
                <w:u w:val="none"/>
                <w:lang w:val="en-US" w:eastAsia="zh-CN"/>
              </w:rPr>
            </w:pPr>
            <w:r>
              <w:rPr>
                <w:rFonts w:hint="default" w:ascii="Times New Roman" w:hAnsi="Times New Roman" w:eastAsia="方正仿宋简体" w:cs="Times New Roman"/>
                <w:i w:val="0"/>
                <w:iCs w:val="0"/>
                <w:color w:val="000000"/>
                <w:sz w:val="32"/>
                <w:szCs w:val="32"/>
                <w:u w:val="none"/>
                <w:lang w:val="en-US" w:eastAsia="zh-CN"/>
              </w:rPr>
              <w:t>90</w:t>
            </w:r>
            <w:r>
              <w:rPr>
                <w:rFonts w:hint="eastAsia" w:ascii="Times New Roman" w:hAnsi="Times New Roman" w:eastAsia="方正仿宋简体" w:cs="Times New Roman"/>
                <w:i w:val="0"/>
                <w:iCs w:val="0"/>
                <w:color w:val="000000"/>
                <w:sz w:val="32"/>
                <w:szCs w:val="32"/>
                <w:u w:val="none"/>
                <w:lang w:val="en-US" w:eastAsia="zh-CN"/>
              </w:rPr>
              <w:t>2</w:t>
            </w:r>
          </w:p>
        </w:tc>
      </w:tr>
    </w:tbl>
    <w:p w14:paraId="50238EA5">
      <w:pPr>
        <w:keepNext w:val="0"/>
        <w:keepLines w:val="0"/>
        <w:pageBreakBefore w:val="0"/>
        <w:widowControl w:val="0"/>
        <w:kinsoku/>
        <w:wordWrap/>
        <w:overflowPunct/>
        <w:topLinePunct w:val="0"/>
        <w:autoSpaceDE w:val="0"/>
        <w:autoSpaceDN w:val="0"/>
        <w:bidi w:val="0"/>
        <w:spacing w:line="600" w:lineRule="exact"/>
        <w:ind w:firstLine="784" w:firstLineChars="245"/>
        <w:textAlignment w:val="auto"/>
        <w:rPr>
          <w:rFonts w:hint="default" w:ascii="Times New Roman" w:hAnsi="Times New Roman" w:eastAsia="方正黑体简体" w:cs="Times New Roman"/>
          <w:b w:val="0"/>
          <w:bCs w:val="0"/>
          <w:color w:val="000000"/>
          <w:sz w:val="32"/>
          <w:szCs w:val="32"/>
          <w:lang w:eastAsia="zh-CN"/>
        </w:rPr>
      </w:pPr>
      <w:r>
        <w:rPr>
          <w:rFonts w:hint="default" w:ascii="Times New Roman" w:hAnsi="Times New Roman" w:eastAsia="方正黑体简体" w:cs="Times New Roman"/>
          <w:b w:val="0"/>
          <w:bCs w:val="0"/>
          <w:color w:val="000000"/>
          <w:sz w:val="32"/>
          <w:szCs w:val="32"/>
          <w:lang w:val="en-US" w:eastAsia="zh-CN"/>
        </w:rPr>
        <w:t>三、</w:t>
      </w:r>
      <w:r>
        <w:rPr>
          <w:rFonts w:hint="default" w:ascii="Times New Roman" w:hAnsi="Times New Roman" w:eastAsia="方正黑体简体" w:cs="Times New Roman"/>
          <w:b w:val="0"/>
          <w:bCs w:val="0"/>
          <w:color w:val="000000"/>
          <w:sz w:val="32"/>
          <w:szCs w:val="32"/>
          <w:lang w:eastAsia="zh-CN"/>
        </w:rPr>
        <w:t>财务预算执行情况</w:t>
      </w:r>
    </w:p>
    <w:p w14:paraId="4E399C62">
      <w:pPr>
        <w:keepNext w:val="0"/>
        <w:keepLines w:val="0"/>
        <w:pageBreakBefore w:val="0"/>
        <w:widowControl w:val="0"/>
        <w:kinsoku/>
        <w:wordWrap/>
        <w:overflowPunct/>
        <w:topLinePunct w:val="0"/>
        <w:autoSpaceDE w:val="0"/>
        <w:autoSpaceDN w:val="0"/>
        <w:bidi w:val="0"/>
        <w:spacing w:line="600" w:lineRule="exact"/>
        <w:ind w:firstLine="784" w:firstLineChars="245"/>
        <w:textAlignment w:val="auto"/>
        <w:rPr>
          <w:rFonts w:hint="default" w:ascii="Times New Roman" w:hAnsi="Times New Roman" w:eastAsia="方正黑体简体" w:cs="Times New Roman"/>
          <w:b w:val="0"/>
          <w:bCs w:val="0"/>
          <w:sz w:val="32"/>
          <w:szCs w:val="32"/>
          <w:highlight w:val="yellow"/>
          <w:lang w:eastAsia="zh-CN"/>
        </w:rPr>
      </w:pPr>
      <w:r>
        <w:rPr>
          <w:rFonts w:hint="default" w:ascii="Times New Roman" w:hAnsi="Times New Roman" w:eastAsia="方正仿宋简体" w:cs="Times New Roman"/>
          <w:b w:val="0"/>
          <w:bCs w:val="0"/>
          <w:color w:val="000000"/>
          <w:sz w:val="32"/>
          <w:szCs w:val="32"/>
          <w:lang w:eastAsia="zh-CN"/>
        </w:rPr>
        <w:t>202</w:t>
      </w:r>
      <w:r>
        <w:rPr>
          <w:rFonts w:hint="default" w:ascii="Times New Roman" w:hAnsi="Times New Roman" w:eastAsia="方正仿宋简体" w:cs="Times New Roman"/>
          <w:b w:val="0"/>
          <w:bCs w:val="0"/>
          <w:color w:val="000000"/>
          <w:sz w:val="32"/>
          <w:szCs w:val="32"/>
          <w:lang w:val="en-US" w:eastAsia="zh-CN"/>
        </w:rPr>
        <w:t>4</w:t>
      </w:r>
      <w:r>
        <w:rPr>
          <w:rFonts w:hint="default" w:ascii="Times New Roman" w:hAnsi="Times New Roman" w:eastAsia="方正仿宋简体" w:cs="Times New Roman"/>
          <w:b w:val="0"/>
          <w:bCs w:val="0"/>
          <w:color w:val="000000"/>
          <w:sz w:val="32"/>
          <w:szCs w:val="32"/>
          <w:lang w:eastAsia="zh-CN"/>
        </w:rPr>
        <w:t>年度，公司实现营业总收入</w:t>
      </w:r>
      <w:r>
        <w:rPr>
          <w:rFonts w:hint="default" w:ascii="Times New Roman" w:hAnsi="Times New Roman" w:eastAsia="方正仿宋简体" w:cs="Times New Roman"/>
          <w:b w:val="0"/>
          <w:bCs w:val="0"/>
          <w:color w:val="000000"/>
          <w:sz w:val="32"/>
          <w:szCs w:val="32"/>
          <w:lang w:val="en-US" w:eastAsia="zh-CN"/>
        </w:rPr>
        <w:t>111</w:t>
      </w:r>
      <w:r>
        <w:rPr>
          <w:rFonts w:hint="eastAsia" w:ascii="Times New Roman" w:hAnsi="Times New Roman" w:eastAsia="方正仿宋简体" w:cs="Times New Roman"/>
          <w:b w:val="0"/>
          <w:bCs w:val="0"/>
          <w:color w:val="000000"/>
          <w:sz w:val="32"/>
          <w:szCs w:val="32"/>
          <w:lang w:val="en-US" w:eastAsia="zh-CN"/>
        </w:rPr>
        <w:t>4</w:t>
      </w:r>
      <w:r>
        <w:rPr>
          <w:rFonts w:hint="default" w:ascii="Times New Roman" w:hAnsi="Times New Roman" w:eastAsia="方正仿宋简体" w:cs="Times New Roman"/>
          <w:b w:val="0"/>
          <w:bCs w:val="0"/>
          <w:color w:val="000000"/>
          <w:sz w:val="32"/>
          <w:szCs w:val="32"/>
          <w:lang w:eastAsia="zh-CN"/>
        </w:rPr>
        <w:t>万元，完成年度预算的</w:t>
      </w:r>
      <w:r>
        <w:rPr>
          <w:rFonts w:hint="default" w:ascii="Times New Roman" w:hAnsi="Times New Roman" w:eastAsia="方正仿宋简体" w:cs="Times New Roman"/>
          <w:b w:val="0"/>
          <w:bCs w:val="0"/>
          <w:color w:val="000000"/>
          <w:sz w:val="32"/>
          <w:szCs w:val="32"/>
          <w:lang w:val="en-US" w:eastAsia="zh-CN"/>
        </w:rPr>
        <w:t>101</w:t>
      </w:r>
      <w:r>
        <w:rPr>
          <w:rFonts w:hint="default" w:ascii="Times New Roman" w:hAnsi="Times New Roman" w:eastAsia="方正仿宋简体" w:cs="Times New Roman"/>
          <w:b w:val="0"/>
          <w:bCs w:val="0"/>
          <w:color w:val="000000"/>
          <w:sz w:val="32"/>
          <w:szCs w:val="32"/>
          <w:lang w:eastAsia="zh-CN"/>
        </w:rPr>
        <w:t>%，实现利润总额</w:t>
      </w:r>
      <w:r>
        <w:rPr>
          <w:rFonts w:hint="default" w:ascii="Times New Roman" w:hAnsi="Times New Roman" w:eastAsia="方正仿宋简体" w:cs="Times New Roman"/>
          <w:b w:val="0"/>
          <w:bCs w:val="0"/>
          <w:color w:val="000000"/>
          <w:sz w:val="32"/>
          <w:szCs w:val="32"/>
          <w:lang w:val="en-US" w:eastAsia="zh-CN"/>
        </w:rPr>
        <w:t>281</w:t>
      </w:r>
      <w:r>
        <w:rPr>
          <w:rFonts w:hint="default" w:ascii="Times New Roman" w:hAnsi="Times New Roman" w:eastAsia="方正仿宋简体" w:cs="Times New Roman"/>
          <w:b w:val="0"/>
          <w:bCs w:val="0"/>
          <w:color w:val="000000"/>
          <w:sz w:val="32"/>
          <w:szCs w:val="32"/>
          <w:lang w:eastAsia="zh-CN"/>
        </w:rPr>
        <w:t>万元完成年度预算的</w:t>
      </w:r>
      <w:r>
        <w:rPr>
          <w:rFonts w:hint="default" w:ascii="Times New Roman" w:hAnsi="Times New Roman" w:eastAsia="方正仿宋简体" w:cs="Times New Roman"/>
          <w:b w:val="0"/>
          <w:bCs w:val="0"/>
          <w:color w:val="000000"/>
          <w:sz w:val="32"/>
          <w:szCs w:val="32"/>
          <w:lang w:val="en-US" w:eastAsia="zh-CN"/>
        </w:rPr>
        <w:t xml:space="preserve">101 </w:t>
      </w:r>
      <w:r>
        <w:rPr>
          <w:rFonts w:hint="default" w:ascii="Times New Roman" w:hAnsi="Times New Roman" w:eastAsia="方正仿宋简体" w:cs="Times New Roman"/>
          <w:b w:val="0"/>
          <w:bCs w:val="0"/>
          <w:color w:val="000000"/>
          <w:sz w:val="32"/>
          <w:szCs w:val="32"/>
          <w:lang w:eastAsia="zh-CN"/>
        </w:rPr>
        <w:t>%，实现净利润</w:t>
      </w:r>
      <w:r>
        <w:rPr>
          <w:rFonts w:hint="default" w:ascii="Times New Roman" w:hAnsi="Times New Roman" w:eastAsia="方正仿宋简体" w:cs="Times New Roman"/>
          <w:b w:val="0"/>
          <w:bCs w:val="0"/>
          <w:color w:val="000000"/>
          <w:sz w:val="32"/>
          <w:szCs w:val="32"/>
          <w:lang w:val="en-US" w:eastAsia="zh-CN"/>
        </w:rPr>
        <w:t xml:space="preserve"> 26</w:t>
      </w:r>
      <w:r>
        <w:rPr>
          <w:rFonts w:hint="eastAsia" w:ascii="Times New Roman" w:hAnsi="Times New Roman" w:eastAsia="方正仿宋简体" w:cs="Times New Roman"/>
          <w:b w:val="0"/>
          <w:bCs w:val="0"/>
          <w:color w:val="000000"/>
          <w:sz w:val="32"/>
          <w:szCs w:val="32"/>
          <w:lang w:val="en-US" w:eastAsia="zh-CN"/>
        </w:rPr>
        <w:t>7</w:t>
      </w:r>
      <w:r>
        <w:rPr>
          <w:rFonts w:hint="default" w:ascii="Times New Roman" w:hAnsi="Times New Roman" w:eastAsia="方正仿宋简体" w:cs="Times New Roman"/>
          <w:b w:val="0"/>
          <w:bCs w:val="0"/>
          <w:color w:val="000000"/>
          <w:sz w:val="32"/>
          <w:szCs w:val="32"/>
          <w:lang w:eastAsia="zh-CN"/>
        </w:rPr>
        <w:t>万元，完成年度预算的</w:t>
      </w:r>
      <w:r>
        <w:rPr>
          <w:rFonts w:hint="default" w:ascii="Times New Roman" w:hAnsi="Times New Roman" w:eastAsia="方正仿宋简体" w:cs="Times New Roman"/>
          <w:b w:val="0"/>
          <w:bCs w:val="0"/>
          <w:color w:val="000000"/>
          <w:sz w:val="32"/>
          <w:szCs w:val="32"/>
          <w:lang w:val="en-US" w:eastAsia="zh-CN"/>
        </w:rPr>
        <w:t>100</w:t>
      </w:r>
      <w:r>
        <w:rPr>
          <w:rFonts w:hint="default" w:ascii="Times New Roman" w:hAnsi="Times New Roman" w:eastAsia="方正仿宋简体" w:cs="Times New Roman"/>
          <w:b w:val="0"/>
          <w:bCs w:val="0"/>
          <w:color w:val="000000"/>
          <w:sz w:val="32"/>
          <w:szCs w:val="32"/>
          <w:lang w:eastAsia="zh-CN"/>
        </w:rPr>
        <w:t>%。</w:t>
      </w:r>
    </w:p>
    <w:p w14:paraId="06E5A763">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方正黑体简体" w:cs="Times New Roman"/>
          <w:b w:val="0"/>
          <w:bCs w:val="0"/>
          <w:lang w:val="en-US" w:eastAsia="zh-CN"/>
        </w:rPr>
      </w:pPr>
      <w:r>
        <w:rPr>
          <w:rFonts w:hint="default" w:ascii="Times New Roman" w:hAnsi="Times New Roman" w:eastAsia="方正黑体简体" w:cs="Times New Roman"/>
          <w:b w:val="0"/>
          <w:bCs w:val="0"/>
          <w:lang w:val="en-US" w:eastAsia="zh-CN"/>
        </w:rPr>
        <w:t>四、财务会计报告和审计报告摘要</w:t>
      </w:r>
    </w:p>
    <w:p w14:paraId="1E7F03BB">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方正楷体简体" w:cs="Times New Roman"/>
          <w:b w:val="0"/>
          <w:bCs w:val="0"/>
          <w:lang w:val="en-US" w:eastAsia="zh-CN"/>
        </w:rPr>
      </w:pPr>
      <w:r>
        <w:rPr>
          <w:rFonts w:hint="default" w:ascii="Times New Roman" w:hAnsi="Times New Roman" w:eastAsia="方正楷体简体" w:cs="Times New Roman"/>
          <w:b w:val="0"/>
          <w:bCs w:val="0"/>
          <w:lang w:val="en-US" w:eastAsia="zh-CN"/>
        </w:rPr>
        <w:t>（一）审计意见</w:t>
      </w:r>
    </w:p>
    <w:p w14:paraId="6369DB5C">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和信会计师事务所（特殊普通合伙）审计了济宁市中正工程监理有限责任公司（以下简称贵公司）财务报表，包括2024年12月31日的资产负债表，2024年度的利润表、现金流量表、所有者权益变动表以及相关财务报表附注。</w:t>
      </w:r>
    </w:p>
    <w:p w14:paraId="36913038">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我们认为，后附的财务报表在所有重大方面按照企业会计准则的规定编制，公允反映了贵公司2024年12月31日的财务状况以及2024年度的经营成果和现金流量。</w:t>
      </w:r>
    </w:p>
    <w:p w14:paraId="15159F92">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方正楷体简体" w:cs="Times New Roman"/>
          <w:b w:val="0"/>
          <w:bCs w:val="0"/>
          <w:lang w:val="en-US" w:eastAsia="zh-CN"/>
        </w:rPr>
      </w:pPr>
      <w:r>
        <w:rPr>
          <w:rFonts w:hint="default" w:ascii="Times New Roman" w:hAnsi="Times New Roman" w:eastAsia="方正楷体简体" w:cs="Times New Roman"/>
          <w:b w:val="0"/>
          <w:bCs w:val="0"/>
          <w:lang w:val="en-US" w:eastAsia="zh-CN"/>
        </w:rPr>
        <w:t>（二）形成审计意见的基础</w:t>
      </w:r>
    </w:p>
    <w:p w14:paraId="39F85FBF">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我们按照中国注册会计师审计准则的规定执行了审计工作。审计报告的“注册会计师对财务报表审计的责任”部分进一步阐述了我们在这些准则下的责任。</w:t>
      </w:r>
    </w:p>
    <w:p w14:paraId="15D4662C">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按照中国注册会计师职业道德守则，我们独立于贵公司，并履行了职业道德方面的其他责任。我们相信，我们获取的审计证据是充分、适当的，为发表审计意见提供了基础。</w:t>
      </w:r>
    </w:p>
    <w:p w14:paraId="520FB469">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方正楷体简体" w:cs="Times New Roman"/>
          <w:b w:val="0"/>
          <w:bCs w:val="0"/>
          <w:lang w:val="en-US" w:eastAsia="zh-CN"/>
        </w:rPr>
      </w:pPr>
      <w:r>
        <w:rPr>
          <w:rFonts w:hint="default" w:ascii="Times New Roman" w:hAnsi="Times New Roman" w:eastAsia="方正楷体简体" w:cs="Times New Roman"/>
          <w:b w:val="0"/>
          <w:bCs w:val="0"/>
          <w:lang w:val="en-US" w:eastAsia="zh-CN"/>
        </w:rPr>
        <w:t>（三）管理层和治理层对财务报表的责任</w:t>
      </w:r>
    </w:p>
    <w:p w14:paraId="28FADC60">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贵公司管理层(以下简称管理层)负责按照企业会计准则的规定编制财务报表，使其实现公允反映，并设计、执行和维护必要的内部控制，以使财务报表不存在由于舞弊或错误导致的重大错报。</w:t>
      </w:r>
    </w:p>
    <w:p w14:paraId="474B2DB4">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在编制财务报表时，管理层负责评估</w:t>
      </w:r>
      <w:r>
        <w:rPr>
          <w:rFonts w:hint="default" w:ascii="Times New Roman" w:hAnsi="Times New Roman" w:eastAsia="方正仿宋简体" w:cs="Times New Roman"/>
          <w:b w:val="0"/>
          <w:bCs w:val="0"/>
          <w:kern w:val="44"/>
          <w:sz w:val="32"/>
          <w:szCs w:val="32"/>
          <w:lang w:val="en-US" w:eastAsia="zh-CN"/>
        </w:rPr>
        <w:t>贵</w:t>
      </w:r>
      <w:r>
        <w:rPr>
          <w:rFonts w:hint="default" w:ascii="Times New Roman" w:hAnsi="Times New Roman" w:eastAsia="方正仿宋简体" w:cs="Times New Roman"/>
          <w:b w:val="0"/>
          <w:bCs w:val="0"/>
          <w:kern w:val="44"/>
          <w:sz w:val="32"/>
          <w:szCs w:val="32"/>
          <w:lang w:eastAsia="zh-CN"/>
        </w:rPr>
        <w:t>公司的持续经营能力，披露与持续经营相关的事项，并运用持续经营假设，除非管理层计划清算</w:t>
      </w:r>
      <w:r>
        <w:rPr>
          <w:rFonts w:hint="default" w:ascii="Times New Roman" w:hAnsi="Times New Roman" w:eastAsia="方正仿宋简体" w:cs="Times New Roman"/>
          <w:b w:val="0"/>
          <w:bCs w:val="0"/>
          <w:kern w:val="44"/>
          <w:sz w:val="32"/>
          <w:szCs w:val="32"/>
          <w:lang w:val="en-US" w:eastAsia="zh-CN"/>
        </w:rPr>
        <w:t>贵</w:t>
      </w:r>
      <w:r>
        <w:rPr>
          <w:rFonts w:hint="default" w:ascii="Times New Roman" w:hAnsi="Times New Roman" w:eastAsia="方正仿宋简体" w:cs="Times New Roman"/>
          <w:b w:val="0"/>
          <w:bCs w:val="0"/>
          <w:kern w:val="44"/>
          <w:sz w:val="32"/>
          <w:szCs w:val="32"/>
          <w:lang w:eastAsia="zh-CN"/>
        </w:rPr>
        <w:t>公司、终止运营或别无其他现实的选择。</w:t>
      </w:r>
    </w:p>
    <w:p w14:paraId="7B0A22E2">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贵公司治理层(以下简称治理层)负责监督贵公司的财务报告过程。</w:t>
      </w:r>
    </w:p>
    <w:p w14:paraId="5E902625">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方正楷体简体" w:cs="Times New Roman"/>
          <w:b w:val="0"/>
          <w:bCs w:val="0"/>
          <w:lang w:val="en-US" w:eastAsia="zh-CN"/>
        </w:rPr>
      </w:pPr>
      <w:r>
        <w:rPr>
          <w:rFonts w:hint="default" w:ascii="Times New Roman" w:hAnsi="Times New Roman" w:eastAsia="方正楷体简体" w:cs="Times New Roman"/>
          <w:b w:val="0"/>
          <w:bCs w:val="0"/>
          <w:lang w:val="en-US" w:eastAsia="zh-CN"/>
        </w:rPr>
        <w:t>（四）注册会计师对财务报表审计的责任</w:t>
      </w:r>
    </w:p>
    <w:p w14:paraId="37F8FAA4">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所导致，如果合理预期错报单独或汇总起来可能影响财务报表使用者依据财务报表作出的经济决策，则通常认为错报是重大的。</w:t>
      </w:r>
    </w:p>
    <w:p w14:paraId="6A48272F">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在按照审计准则执行审计的过程中，我们运用职业判断，并保持职业怀疑同时，我们也执行以下工作:</w:t>
      </w:r>
    </w:p>
    <w:p w14:paraId="1419C5CA">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一)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77568508">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(二)了解与审计相关的内部控制，以设计恰当的审计程序</w:t>
      </w:r>
    </w:p>
    <w:p w14:paraId="3969716B">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(三)评价管理层选用会计政策的恰当性和作出会计估计及相关披露的合理性。</w:t>
      </w:r>
    </w:p>
    <w:p w14:paraId="05EE2785">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四)对管理层使用持续经营假设的恰当性得出结论。同时，根据获取的审计证据，就可能导致对贵公司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贵公司不能持续经营。</w:t>
      </w:r>
    </w:p>
    <w:p w14:paraId="564C94D8">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(五)评价财务报表的总体列报、结构和内容，并评价财务报表是否公允反映相关交易和事项。</w:t>
      </w:r>
    </w:p>
    <w:p w14:paraId="634BD064">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仿宋简体" w:cs="Times New Roman"/>
          <w:b w:val="0"/>
          <w:bCs w:val="0"/>
          <w:kern w:val="44"/>
          <w:sz w:val="32"/>
          <w:szCs w:val="32"/>
          <w:lang w:eastAsia="zh-CN"/>
        </w:rPr>
      </w:pPr>
      <w:r>
        <w:rPr>
          <w:rFonts w:hint="default" w:ascii="Times New Roman" w:hAnsi="Times New Roman" w:eastAsia="方正仿宋简体" w:cs="Times New Roman"/>
          <w:b w:val="0"/>
          <w:bCs w:val="0"/>
          <w:kern w:val="44"/>
          <w:sz w:val="32"/>
          <w:szCs w:val="32"/>
          <w:lang w:eastAsia="zh-CN"/>
        </w:rPr>
        <w:t>我们与治理层就计划的审计范围、时间安排和重大审计发现等事项进行沟通包括沟通我们在审计中识别出的值得关注的内部控制缺陷。</w:t>
      </w:r>
    </w:p>
    <w:p w14:paraId="59D9A032">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0" w:firstLineChars="200"/>
        <w:textAlignment w:val="auto"/>
        <w:rPr>
          <w:rFonts w:hint="default" w:ascii="Times New Roman" w:hAnsi="Times New Roman" w:eastAsia="方正黑体简体" w:cs="Times New Roman"/>
          <w:b w:val="0"/>
          <w:bCs w:val="0"/>
          <w:sz w:val="32"/>
          <w:szCs w:val="32"/>
          <w:highlight w:val="none"/>
          <w:lang w:eastAsia="zh-CN"/>
        </w:rPr>
      </w:pPr>
      <w:r>
        <w:rPr>
          <w:rFonts w:hint="default" w:ascii="Times New Roman" w:hAnsi="Times New Roman" w:eastAsia="方正黑体简体" w:cs="Times New Roman"/>
          <w:b w:val="0"/>
          <w:bCs w:val="0"/>
          <w:sz w:val="32"/>
          <w:szCs w:val="32"/>
          <w:highlight w:val="none"/>
          <w:lang w:val="en-US" w:eastAsia="zh-CN"/>
        </w:rPr>
        <w:t>五</w:t>
      </w:r>
      <w:r>
        <w:rPr>
          <w:rFonts w:hint="default" w:ascii="Times New Roman" w:hAnsi="Times New Roman" w:eastAsia="方正黑体简体" w:cs="Times New Roman"/>
          <w:b w:val="0"/>
          <w:bCs w:val="0"/>
          <w:sz w:val="32"/>
          <w:szCs w:val="32"/>
          <w:highlight w:val="none"/>
          <w:lang w:eastAsia="zh-CN"/>
        </w:rPr>
        <w:t>、</w:t>
      </w:r>
      <w:r>
        <w:rPr>
          <w:rFonts w:hint="default" w:ascii="Times New Roman" w:hAnsi="Times New Roman" w:eastAsia="方正黑体简体" w:cs="Times New Roman"/>
          <w:b w:val="0"/>
          <w:bCs w:val="0"/>
          <w:sz w:val="32"/>
          <w:szCs w:val="32"/>
          <w:highlight w:val="none"/>
          <w:lang w:val="en-US" w:eastAsia="zh-CN"/>
        </w:rPr>
        <w:t>经理会</w:t>
      </w:r>
      <w:r>
        <w:rPr>
          <w:rFonts w:hint="default" w:ascii="Times New Roman" w:hAnsi="Times New Roman" w:eastAsia="方正黑体简体" w:cs="Times New Roman"/>
          <w:b w:val="0"/>
          <w:bCs w:val="0"/>
          <w:sz w:val="32"/>
          <w:szCs w:val="32"/>
          <w:highlight w:val="none"/>
          <w:lang w:eastAsia="zh-CN"/>
        </w:rPr>
        <w:t>报告摘要</w:t>
      </w:r>
    </w:p>
    <w:p w14:paraId="77593454">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0" w:firstLineChars="200"/>
        <w:jc w:val="both"/>
        <w:textAlignment w:val="auto"/>
        <w:rPr>
          <w:rFonts w:hint="default" w:ascii="Times New Roman" w:hAnsi="Times New Roman" w:eastAsia="方正楷体简体" w:cs="Times New Roman"/>
          <w:b w:val="0"/>
          <w:bCs w:val="0"/>
          <w:lang w:val="en-US" w:eastAsia="zh-CN"/>
        </w:rPr>
      </w:pPr>
      <w:r>
        <w:rPr>
          <w:rFonts w:hint="default" w:ascii="Times New Roman" w:hAnsi="Times New Roman" w:eastAsia="方正楷体简体" w:cs="Times New Roman"/>
          <w:b w:val="0"/>
          <w:bCs w:val="0"/>
          <w:lang w:val="en-US" w:eastAsia="zh-CN"/>
        </w:rPr>
        <w:t>（一）公司发展战略与规划情况</w:t>
      </w:r>
    </w:p>
    <w:p w14:paraId="2FBD3F0D">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方正仿宋简体" w:cs="Times New Roman"/>
          <w:b w:val="0"/>
          <w:bCs w:val="0"/>
          <w:sz w:val="32"/>
          <w:szCs w:val="32"/>
          <w:lang w:eastAsia="zh-CN"/>
        </w:rPr>
      </w:pPr>
      <w:r>
        <w:rPr>
          <w:rFonts w:hint="default" w:ascii="Times New Roman" w:hAnsi="Times New Roman" w:eastAsia="方正仿宋简体" w:cs="Times New Roman"/>
          <w:b w:val="0"/>
          <w:bCs w:val="0"/>
          <w:sz w:val="32"/>
          <w:szCs w:val="32"/>
          <w:lang w:val="en-US" w:eastAsia="zh-CN"/>
        </w:rPr>
        <w:t>2024年度</w:t>
      </w:r>
      <w:r>
        <w:rPr>
          <w:rFonts w:hint="default" w:ascii="Times New Roman" w:hAnsi="Times New Roman" w:eastAsia="方正仿宋简体" w:cs="Times New Roman"/>
          <w:b w:val="0"/>
          <w:bCs w:val="0"/>
          <w:sz w:val="32"/>
          <w:szCs w:val="32"/>
        </w:rPr>
        <w:t>公司结合国内外经济形势和行业发展趋势，制定明确的战略规划和转型升级策略，明确“十五五”期间的发展方向、重点领域和主攻方向，推动企业实现高质量发展。加大科技创新投入力度，培育企业核心竞争力，鼓励企</w:t>
      </w:r>
      <w:r>
        <w:rPr>
          <w:rFonts w:hint="default" w:ascii="Times New Roman" w:hAnsi="Times New Roman" w:eastAsia="方正仿宋简体" w:cs="Times New Roman"/>
          <w:b w:val="0"/>
          <w:bCs w:val="0"/>
          <w:sz w:val="32"/>
          <w:szCs w:val="32"/>
          <w:lang w:val="en-US" w:eastAsia="zh-CN"/>
        </w:rPr>
        <w:t>业</w:t>
      </w:r>
      <w:r>
        <w:rPr>
          <w:rFonts w:hint="default" w:ascii="Times New Roman" w:hAnsi="Times New Roman" w:eastAsia="方正仿宋简体" w:cs="Times New Roman"/>
          <w:b w:val="0"/>
          <w:bCs w:val="0"/>
          <w:sz w:val="32"/>
          <w:szCs w:val="32"/>
        </w:rPr>
        <w:t>在技术创新、管理创新、商业模式创新等方面取得突破，提升企业创新能力，推动产业升级。加快企业改革步伐，进一步完善公司治理结构，建立现代企业制度，增强企业的灵活性和</w:t>
      </w:r>
      <w:r>
        <w:rPr>
          <w:rFonts w:hint="default" w:ascii="Times New Roman" w:hAnsi="Times New Roman" w:eastAsia="方正仿宋简体" w:cs="Times New Roman"/>
          <w:b w:val="0"/>
          <w:bCs w:val="0"/>
          <w:sz w:val="32"/>
          <w:szCs w:val="32"/>
          <w:lang w:val="en-US" w:eastAsia="zh-CN"/>
        </w:rPr>
        <w:t>提高</w:t>
      </w:r>
      <w:r>
        <w:rPr>
          <w:rFonts w:hint="default" w:ascii="Times New Roman" w:hAnsi="Times New Roman" w:eastAsia="方正仿宋简体" w:cs="Times New Roman"/>
          <w:b w:val="0"/>
          <w:bCs w:val="0"/>
          <w:sz w:val="32"/>
          <w:szCs w:val="32"/>
        </w:rPr>
        <w:t>市场化程度</w:t>
      </w:r>
      <w:r>
        <w:rPr>
          <w:rFonts w:hint="default" w:ascii="Times New Roman" w:hAnsi="Times New Roman" w:eastAsia="方正仿宋简体" w:cs="Times New Roman"/>
          <w:b w:val="0"/>
          <w:bCs w:val="0"/>
          <w:sz w:val="32"/>
          <w:szCs w:val="32"/>
          <w:lang w:eastAsia="zh-CN"/>
        </w:rPr>
        <w:t>。</w:t>
      </w:r>
    </w:p>
    <w:p w14:paraId="1E2D9A4E">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（二）</w:t>
      </w:r>
      <w:r>
        <w:rPr>
          <w:rFonts w:hint="default" w:ascii="Times New Roman" w:hAnsi="Times New Roman" w:eastAsia="方正楷体简体" w:cs="Times New Roman"/>
          <w:b w:val="0"/>
          <w:bCs w:val="0"/>
          <w:sz w:val="32"/>
          <w:szCs w:val="32"/>
          <w:lang w:val="en-US" w:eastAsia="zh-CN" w:bidi="zh-CN"/>
        </w:rPr>
        <w:t>企业核心竞争力培育和提升情况</w:t>
      </w:r>
    </w:p>
    <w:p w14:paraId="60A11FFA">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2024年3月公司先后进行了法人的变更，通过了三体系认证复审并增加资质范围内房屋建筑工程监理、市政公用工程监理所涉及区域内的认证，济邹高速项目监理部标准化建设等，进一步提高了公司的市场竞争力。公司以“科技创新”为抓手，凝聚创新资源，营造全员创新氛围，不断推进科技创新驱动公司高质量发展。组织各监理部</w:t>
      </w:r>
      <w:r>
        <w:rPr>
          <w:rFonts w:hint="default" w:ascii="Times New Roman" w:hAnsi="Times New Roman" w:eastAsia="方正仿宋简体" w:cs="Times New Roman"/>
          <w:b w:val="0"/>
          <w:bCs w:val="0"/>
          <w:sz w:val="32"/>
          <w:szCs w:val="32"/>
          <w:lang w:val="en-US" w:eastAsia="zh-CN"/>
        </w:rPr>
        <w:t>门</w:t>
      </w:r>
      <w:r>
        <w:rPr>
          <w:rFonts w:hint="default" w:ascii="Times New Roman" w:hAnsi="Times New Roman" w:eastAsia="方正仿宋简体" w:cs="Times New Roman"/>
          <w:b w:val="0"/>
          <w:bCs w:val="0"/>
          <w:sz w:val="32"/>
          <w:szCs w:val="32"/>
        </w:rPr>
        <w:t>结合实际工作对工程监理单位安全生产费提取和规范化使用、超过一定规模的危险性较大的单项工程安全生产监理履职两项课题研究。课题研究中积极收集相关规范和标准，通过深入研究，发现行业中的问题并提出解决方案，推动行业标准的制定和优化，从而提高自身监理和整个行业的工作水平。通过开展QC小组活动，发布成果报告总结以往经验，大大提高了监理人员的团队合作能力和项目管理的效率‌‌。先后完成水利普查数据汇总可视化系统V1.0、网络水利信息化监测系统软件V1.0两项计算机软件著作权成果，润泽中正监理QC小组课题提高污水处理厂曝气滤池预埋Q235-B碳钢套管安装一次性合格率获得中国水利工程协会2024年度水利工程优秀质量管理小组成果</w:t>
      </w:r>
      <w:r>
        <w:rPr>
          <w:rFonts w:hint="default" w:ascii="Times New Roman" w:hAnsi="Times New Roman" w:eastAsia="方正仿宋简体" w:cs="Times New Roman"/>
          <w:b w:val="0"/>
          <w:bCs w:val="0"/>
          <w:sz w:val="32"/>
          <w:szCs w:val="32"/>
          <w:lang w:eastAsia="zh-CN"/>
        </w:rPr>
        <w:t>Ⅲ类</w:t>
      </w:r>
      <w:r>
        <w:rPr>
          <w:rFonts w:hint="default" w:ascii="Times New Roman" w:hAnsi="Times New Roman" w:eastAsia="方正仿宋简体" w:cs="Times New Roman"/>
          <w:b w:val="0"/>
          <w:bCs w:val="0"/>
          <w:sz w:val="32"/>
          <w:szCs w:val="32"/>
        </w:rPr>
        <w:t>成果。</w:t>
      </w:r>
    </w:p>
    <w:p w14:paraId="29886A64">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方正楷体简体" w:cs="Times New Roman"/>
          <w:b w:val="0"/>
          <w:bCs w:val="0"/>
          <w:sz w:val="32"/>
          <w:szCs w:val="32"/>
        </w:rPr>
      </w:pPr>
      <w:r>
        <w:rPr>
          <w:rFonts w:hint="default" w:ascii="Times New Roman" w:hAnsi="Times New Roman" w:eastAsia="方正楷体简体" w:cs="Times New Roman"/>
          <w:b w:val="0"/>
          <w:bCs w:val="0"/>
          <w:sz w:val="32"/>
          <w:szCs w:val="32"/>
          <w:lang w:eastAsia="zh-CN"/>
        </w:rPr>
        <w:t>（</w:t>
      </w:r>
      <w:r>
        <w:rPr>
          <w:rFonts w:hint="default" w:ascii="Times New Roman" w:hAnsi="Times New Roman" w:eastAsia="方正楷体简体" w:cs="Times New Roman"/>
          <w:b w:val="0"/>
          <w:bCs w:val="0"/>
          <w:sz w:val="32"/>
          <w:szCs w:val="32"/>
          <w:lang w:val="en-US" w:eastAsia="zh-CN"/>
        </w:rPr>
        <w:t>三</w:t>
      </w:r>
      <w:r>
        <w:rPr>
          <w:rFonts w:hint="default" w:ascii="Times New Roman" w:hAnsi="Times New Roman" w:eastAsia="方正楷体简体" w:cs="Times New Roman"/>
          <w:b w:val="0"/>
          <w:bCs w:val="0"/>
          <w:sz w:val="32"/>
          <w:szCs w:val="32"/>
          <w:lang w:eastAsia="zh-CN"/>
        </w:rPr>
        <w:t>）</w:t>
      </w:r>
      <w:r>
        <w:rPr>
          <w:rFonts w:hint="default" w:ascii="Times New Roman" w:hAnsi="Times New Roman" w:eastAsia="方正楷体简体" w:cs="Times New Roman"/>
          <w:b w:val="0"/>
          <w:bCs w:val="0"/>
          <w:sz w:val="32"/>
          <w:szCs w:val="32"/>
        </w:rPr>
        <w:t>外树形象、内强素质，抓好安全生产管理并加强员工业务学习</w:t>
      </w:r>
    </w:p>
    <w:p w14:paraId="6F16FE0B">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监理公司认真贯彻落实上级安全生产各项工作部署，根据监理公司安全标准化和相关规定要求制定了符合监理公司实际情况的安全生产责任制清单和安全生产责任考核机制，层层签订安全生产责任书，重点夯实基础安全管理工作，定期组织人员到现场检查指导施工现场和监理自身安全工作，通过公司全体员工的共同努力，所监理项目未发生一起涉及监理责任的安全及质量事故。公司上下监理人员牢固树立监理安全危机意识，依法合规开展监理工作，认真履行合同约定的服务义务，保证了公司健康稳定的发展。</w:t>
      </w:r>
    </w:p>
    <w:p w14:paraId="335EFACE">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方正楷体简体" w:cs="Times New Roman"/>
          <w:b w:val="0"/>
          <w:bCs w:val="0"/>
          <w:sz w:val="32"/>
          <w:szCs w:val="32"/>
          <w:lang w:eastAsia="zh-CN"/>
        </w:rPr>
      </w:pPr>
      <w:r>
        <w:rPr>
          <w:rFonts w:hint="default" w:ascii="Times New Roman" w:hAnsi="Times New Roman" w:eastAsia="方正楷体简体" w:cs="Times New Roman"/>
          <w:b w:val="0"/>
          <w:bCs w:val="0"/>
          <w:sz w:val="32"/>
          <w:szCs w:val="32"/>
          <w:lang w:eastAsia="zh-CN"/>
        </w:rPr>
        <w:t>（</w:t>
      </w:r>
      <w:r>
        <w:rPr>
          <w:rFonts w:hint="default" w:ascii="Times New Roman" w:hAnsi="Times New Roman" w:eastAsia="方正楷体简体" w:cs="Times New Roman"/>
          <w:b w:val="0"/>
          <w:bCs w:val="0"/>
          <w:sz w:val="32"/>
          <w:szCs w:val="32"/>
          <w:lang w:val="en-US" w:eastAsia="zh-CN"/>
        </w:rPr>
        <w:t>四</w:t>
      </w:r>
      <w:r>
        <w:rPr>
          <w:rFonts w:hint="default" w:ascii="Times New Roman" w:hAnsi="Times New Roman" w:eastAsia="方正楷体简体" w:cs="Times New Roman"/>
          <w:b w:val="0"/>
          <w:bCs w:val="0"/>
          <w:sz w:val="32"/>
          <w:szCs w:val="32"/>
          <w:lang w:eastAsia="zh-CN"/>
        </w:rPr>
        <w:t>）继往开来，监理工作稳中有进</w:t>
      </w:r>
    </w:p>
    <w:p w14:paraId="10F9E4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color w:val="auto"/>
          <w:kern w:val="2"/>
          <w:sz w:val="32"/>
          <w:szCs w:val="32"/>
          <w:highlight w:val="none"/>
          <w:lang w:val="en-US" w:eastAsia="zh-CN" w:bidi="ar-SA"/>
        </w:rPr>
      </w:pPr>
      <w:r>
        <w:rPr>
          <w:rFonts w:hint="default" w:ascii="Times New Roman" w:hAnsi="Times New Roman" w:eastAsia="方正仿宋简体" w:cs="Times New Roman"/>
          <w:color w:val="auto"/>
          <w:kern w:val="2"/>
          <w:sz w:val="32"/>
          <w:szCs w:val="32"/>
          <w:highlight w:val="none"/>
          <w:lang w:val="en-US" w:eastAsia="zh-CN" w:bidi="ar-SA"/>
        </w:rPr>
        <w:t>在“独立、公正、诚信、科学”的监理思想指导下，凭借在监理领域长期树立的威信和影响，中正监理公司努力维护水利专业原有市场的同时，又开辟了新市场，既有原水利工程施工监理和水土保持施工监理业务，也有新领域的房屋建筑监理和市政公用监理，其中，我公司监理的泗水县泗河岳陵拦河闸工程、曲阜尼山白村坝工程成绩突出，</w:t>
      </w:r>
      <w:r>
        <w:rPr>
          <w:rFonts w:hint="default" w:ascii="Times New Roman" w:hAnsi="Times New Roman" w:eastAsia="方正仿宋简体" w:cs="Times New Roman"/>
          <w:color w:val="auto"/>
          <w:sz w:val="32"/>
          <w:szCs w:val="32"/>
          <w:highlight w:val="none"/>
          <w:lang w:val="en-US" w:eastAsia="zh-CN"/>
        </w:rPr>
        <w:t>分别获得了2023年度全省重点水利工程建设“争进度、赛质量，比担当、创精品”创新创优劳动竞赛文明工地称号。1人次在2023年度全省重点水利工程建设“争进度、赛质量比担当”决胜攻坚劳动竞赛中，荣获优秀总监理工程师称号。</w:t>
      </w:r>
    </w:p>
    <w:p w14:paraId="1E749DE4">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方正楷体简体" w:cs="Times New Roman"/>
          <w:b w:val="0"/>
          <w:bCs w:val="0"/>
          <w:sz w:val="32"/>
          <w:szCs w:val="32"/>
          <w:lang w:eastAsia="zh-CN"/>
        </w:rPr>
      </w:pPr>
      <w:r>
        <w:rPr>
          <w:rFonts w:hint="default" w:ascii="Times New Roman" w:hAnsi="Times New Roman" w:eastAsia="方正楷体简体" w:cs="Times New Roman"/>
          <w:b w:val="0"/>
          <w:bCs w:val="0"/>
          <w:sz w:val="32"/>
          <w:szCs w:val="32"/>
          <w:lang w:eastAsia="zh-CN"/>
        </w:rPr>
        <w:t>（</w:t>
      </w:r>
      <w:r>
        <w:rPr>
          <w:rFonts w:hint="default" w:ascii="Times New Roman" w:hAnsi="Times New Roman" w:eastAsia="方正楷体简体" w:cs="Times New Roman"/>
          <w:b w:val="0"/>
          <w:bCs w:val="0"/>
          <w:sz w:val="32"/>
          <w:szCs w:val="32"/>
          <w:lang w:val="en-US" w:eastAsia="zh-CN"/>
        </w:rPr>
        <w:t>五</w:t>
      </w:r>
      <w:r>
        <w:rPr>
          <w:rFonts w:hint="default" w:ascii="Times New Roman" w:hAnsi="Times New Roman" w:eastAsia="方正楷体简体" w:cs="Times New Roman"/>
          <w:b w:val="0"/>
          <w:bCs w:val="0"/>
          <w:sz w:val="32"/>
          <w:szCs w:val="32"/>
          <w:lang w:eastAsia="zh-CN"/>
        </w:rPr>
        <w:t>）加强员工素质教育</w:t>
      </w:r>
    </w:p>
    <w:p w14:paraId="23B4AED8">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方正仿宋简体" w:cs="Times New Roman"/>
          <w:b w:val="0"/>
          <w:bCs w:val="0"/>
          <w:sz w:val="32"/>
          <w:szCs w:val="32"/>
        </w:rPr>
      </w:pPr>
      <w:r>
        <w:rPr>
          <w:rFonts w:hint="default" w:ascii="Times New Roman" w:hAnsi="Times New Roman" w:eastAsia="方正仿宋简体" w:cs="Times New Roman"/>
          <w:b w:val="0"/>
          <w:bCs w:val="0"/>
          <w:sz w:val="32"/>
          <w:szCs w:val="32"/>
        </w:rPr>
        <w:t>2024年，在集团党组的正确领导下，公司认真落实上级文件精神，贯彻执行党的路线方针政策，在以习近平新时代中国特色社会主义思想指导下，认真学习讨论、贯彻落实党的二十大精神，坚持开展主题党日活动和中国普法的学习教育，向党员标准靠近，学习《习近平谈治国理政》系列著作，力争掌握精髓要义，学懂悟透，夯实“不忘初心，牢记使命”的主题教育，提高政治站位。</w:t>
      </w:r>
    </w:p>
    <w:p w14:paraId="0D1CC31A">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方正黑体简体" w:cs="Times New Roman"/>
          <w:b w:val="0"/>
          <w:bCs w:val="0"/>
          <w:sz w:val="32"/>
          <w:szCs w:val="32"/>
          <w:lang w:val="en-US"/>
        </w:rPr>
      </w:pPr>
      <w:r>
        <w:rPr>
          <w:rFonts w:hint="default" w:ascii="Times New Roman" w:hAnsi="Times New Roman" w:eastAsia="方正黑体简体" w:cs="Times New Roman"/>
          <w:b w:val="0"/>
          <w:bCs w:val="0"/>
          <w:sz w:val="32"/>
          <w:szCs w:val="32"/>
          <w:lang w:val="en-US" w:eastAsia="zh-CN"/>
        </w:rPr>
        <w:t>六</w:t>
      </w:r>
      <w:r>
        <w:rPr>
          <w:rFonts w:hint="default" w:ascii="Times New Roman" w:hAnsi="Times New Roman" w:eastAsia="方正黑体简体" w:cs="Times New Roman"/>
          <w:b w:val="0"/>
          <w:bCs w:val="0"/>
          <w:sz w:val="32"/>
          <w:szCs w:val="32"/>
          <w:lang w:val="en-US"/>
        </w:rPr>
        <w:t>、</w:t>
      </w:r>
      <w:r>
        <w:rPr>
          <w:rFonts w:hint="default" w:ascii="Times New Roman" w:hAnsi="Times New Roman" w:eastAsia="方正黑体简体" w:cs="Times New Roman"/>
          <w:b w:val="0"/>
          <w:bCs w:val="0"/>
          <w:sz w:val="32"/>
          <w:szCs w:val="32"/>
          <w:lang w:val="en-US" w:eastAsia="zh-CN"/>
        </w:rPr>
        <w:t>年</w:t>
      </w:r>
      <w:r>
        <w:rPr>
          <w:rFonts w:hint="default" w:ascii="Times New Roman" w:hAnsi="Times New Roman" w:eastAsia="方正黑体简体" w:cs="Times New Roman"/>
          <w:b w:val="0"/>
          <w:bCs w:val="0"/>
          <w:sz w:val="32"/>
          <w:szCs w:val="32"/>
          <w:lang w:val="en-US"/>
        </w:rPr>
        <w:t>度内重大事项及对企业的影响</w:t>
      </w:r>
    </w:p>
    <w:p w14:paraId="00E21355">
      <w:pPr>
        <w:keepNext w:val="0"/>
        <w:keepLines w:val="0"/>
        <w:pageBreakBefore w:val="0"/>
        <w:widowControl w:val="0"/>
        <w:kinsoku/>
        <w:wordWrap/>
        <w:overflowPunct/>
        <w:topLinePunct w:val="0"/>
        <w:autoSpaceDE w:val="0"/>
        <w:autoSpaceDN w:val="0"/>
        <w:bidi w:val="0"/>
        <w:spacing w:line="600" w:lineRule="exact"/>
        <w:ind w:firstLine="640" w:firstLineChars="200"/>
        <w:textAlignment w:val="auto"/>
        <w:rPr>
          <w:rFonts w:hint="default" w:ascii="Times New Roman" w:hAnsi="Times New Roman" w:eastAsia="方正仿宋简体" w:cs="Times New Roman"/>
          <w:b w:val="0"/>
          <w:bCs w:val="0"/>
          <w:sz w:val="32"/>
          <w:szCs w:val="32"/>
          <w:lang w:val="en-US"/>
        </w:rPr>
      </w:pPr>
      <w:r>
        <w:rPr>
          <w:rFonts w:hint="default" w:ascii="Times New Roman" w:hAnsi="Times New Roman" w:eastAsia="方正仿宋简体" w:cs="Times New Roman"/>
          <w:b w:val="0"/>
          <w:bCs w:val="0"/>
          <w:sz w:val="32"/>
          <w:szCs w:val="32"/>
          <w:lang w:val="en-US"/>
        </w:rPr>
        <w:t>无。</w:t>
      </w:r>
    </w:p>
    <w:sectPr>
      <w:pgSz w:w="11906" w:h="16838"/>
      <w:pgMar w:top="1984" w:right="1474" w:bottom="158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embedRegular r:id="rId1" w:fontKey="{1C5AF20D-A301-485E-A9A0-80BC9A65D12E}"/>
  </w:font>
  <w:font w:name="方正黑体简体">
    <w:panose1 w:val="03000509000000000000"/>
    <w:charset w:val="86"/>
    <w:family w:val="script"/>
    <w:pitch w:val="default"/>
    <w:sig w:usb0="00000001" w:usb1="080E0000" w:usb2="00000000" w:usb3="00000000" w:csb0="00040000" w:csb1="00000000"/>
    <w:embedRegular r:id="rId2" w:fontKey="{6A63EE16-8D1E-4847-98F8-3FF980B5FE4E}"/>
  </w:font>
  <w:font w:name="方正楷体简体">
    <w:panose1 w:val="03000509000000000000"/>
    <w:charset w:val="86"/>
    <w:family w:val="auto"/>
    <w:pitch w:val="default"/>
    <w:sig w:usb0="00000001" w:usb1="080E0000" w:usb2="00000000" w:usb3="00000000" w:csb0="00040000" w:csb1="00000000"/>
    <w:embedRegular r:id="rId3" w:fontKey="{F7D7368C-314F-4B7A-AE7E-7B694E655C83}"/>
  </w:font>
  <w:font w:name="方正仿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B23CC1"/>
    <w:multiLevelType w:val="singleLevel"/>
    <w:tmpl w:val="D1B23CC1"/>
    <w:lvl w:ilvl="0" w:tentative="0">
      <w:start w:val="2"/>
      <w:numFmt w:val="chineseCounting"/>
      <w:suff w:val="nothing"/>
      <w:lvlText w:val="（%1）"/>
      <w:lvlJc w:val="left"/>
      <w:rPr>
        <w:rFonts w:hint="eastAsia" w:ascii="方正楷体简体" w:hAnsi="方正楷体简体" w:eastAsia="方正楷体简体" w:cs="方正楷体简体"/>
      </w:rPr>
    </w:lvl>
  </w:abstractNum>
  <w:abstractNum w:abstractNumId="1">
    <w:nsid w:val="D3CE7D2F"/>
    <w:multiLevelType w:val="singleLevel"/>
    <w:tmpl w:val="D3CE7D2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TrueTypeFonts/>
  <w:saveSubsetFonts/>
  <w:bordersDoNotSurroundHeader w:val="1"/>
  <w:bordersDoNotSurroundFooter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lNTlkMmJlMmUxZDUwYzA1MDA0NzA2NGFhN2RiMWUifQ=="/>
  </w:docVars>
  <w:rsids>
    <w:rsidRoot w:val="00AB01EA"/>
    <w:rsid w:val="00015A87"/>
    <w:rsid w:val="000168AA"/>
    <w:rsid w:val="00151E71"/>
    <w:rsid w:val="002135C1"/>
    <w:rsid w:val="00271CDE"/>
    <w:rsid w:val="00300466"/>
    <w:rsid w:val="003152D1"/>
    <w:rsid w:val="004055A1"/>
    <w:rsid w:val="00474979"/>
    <w:rsid w:val="004D1F6D"/>
    <w:rsid w:val="005571EB"/>
    <w:rsid w:val="005A15E0"/>
    <w:rsid w:val="00667382"/>
    <w:rsid w:val="006928AD"/>
    <w:rsid w:val="00693743"/>
    <w:rsid w:val="006B7A98"/>
    <w:rsid w:val="00702DC4"/>
    <w:rsid w:val="00710A95"/>
    <w:rsid w:val="007209DF"/>
    <w:rsid w:val="007A0DD0"/>
    <w:rsid w:val="007A5A03"/>
    <w:rsid w:val="007A7033"/>
    <w:rsid w:val="007E6DD0"/>
    <w:rsid w:val="008001A9"/>
    <w:rsid w:val="00806BE9"/>
    <w:rsid w:val="008A74B2"/>
    <w:rsid w:val="0091505B"/>
    <w:rsid w:val="009C4B22"/>
    <w:rsid w:val="00A24713"/>
    <w:rsid w:val="00A26E02"/>
    <w:rsid w:val="00AA3DFD"/>
    <w:rsid w:val="00AB01EA"/>
    <w:rsid w:val="00AB3601"/>
    <w:rsid w:val="00AC59A2"/>
    <w:rsid w:val="00AD0180"/>
    <w:rsid w:val="00B078E2"/>
    <w:rsid w:val="00B15769"/>
    <w:rsid w:val="00B860E7"/>
    <w:rsid w:val="00BA25C7"/>
    <w:rsid w:val="00BD36F7"/>
    <w:rsid w:val="00BD7A30"/>
    <w:rsid w:val="00C25586"/>
    <w:rsid w:val="00C27E86"/>
    <w:rsid w:val="00C82BDE"/>
    <w:rsid w:val="00CA3314"/>
    <w:rsid w:val="00CB4B86"/>
    <w:rsid w:val="00CC7327"/>
    <w:rsid w:val="00DE29BB"/>
    <w:rsid w:val="00E05E9E"/>
    <w:rsid w:val="00E82D5D"/>
    <w:rsid w:val="00E97D11"/>
    <w:rsid w:val="00EA367A"/>
    <w:rsid w:val="00EF29D3"/>
    <w:rsid w:val="00F21D3D"/>
    <w:rsid w:val="00F50061"/>
    <w:rsid w:val="00F75FEA"/>
    <w:rsid w:val="03B00594"/>
    <w:rsid w:val="067740B1"/>
    <w:rsid w:val="0C1300BA"/>
    <w:rsid w:val="0CD93263"/>
    <w:rsid w:val="0CE7033B"/>
    <w:rsid w:val="0F276507"/>
    <w:rsid w:val="101653C5"/>
    <w:rsid w:val="111F1AF9"/>
    <w:rsid w:val="11D529E3"/>
    <w:rsid w:val="11F76665"/>
    <w:rsid w:val="144C088F"/>
    <w:rsid w:val="1757648B"/>
    <w:rsid w:val="1965492D"/>
    <w:rsid w:val="19FC4AC8"/>
    <w:rsid w:val="1B48372C"/>
    <w:rsid w:val="208262A6"/>
    <w:rsid w:val="20AA7F33"/>
    <w:rsid w:val="238B6554"/>
    <w:rsid w:val="248B7AEC"/>
    <w:rsid w:val="285E0D94"/>
    <w:rsid w:val="2C9F250B"/>
    <w:rsid w:val="2CDF446E"/>
    <w:rsid w:val="2E9539DE"/>
    <w:rsid w:val="32DA0AFB"/>
    <w:rsid w:val="33131515"/>
    <w:rsid w:val="35B72437"/>
    <w:rsid w:val="398048E2"/>
    <w:rsid w:val="3CAC6A6F"/>
    <w:rsid w:val="3EB218E1"/>
    <w:rsid w:val="3F812F19"/>
    <w:rsid w:val="40BD03D8"/>
    <w:rsid w:val="46625A9C"/>
    <w:rsid w:val="46935EF1"/>
    <w:rsid w:val="4B28722A"/>
    <w:rsid w:val="4D892482"/>
    <w:rsid w:val="54E11FC0"/>
    <w:rsid w:val="563D6669"/>
    <w:rsid w:val="5D195C77"/>
    <w:rsid w:val="5FA7504C"/>
    <w:rsid w:val="67C52FC9"/>
    <w:rsid w:val="69B626EC"/>
    <w:rsid w:val="6A6446EF"/>
    <w:rsid w:val="6A883A3A"/>
    <w:rsid w:val="70D016D0"/>
    <w:rsid w:val="7439758C"/>
    <w:rsid w:val="76323B4E"/>
    <w:rsid w:val="76730F99"/>
    <w:rsid w:val="79163B57"/>
    <w:rsid w:val="7C7E74CC"/>
    <w:rsid w:val="7D034BD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left="1000"/>
      <w:outlineLvl w:val="0"/>
    </w:pPr>
    <w:rPr>
      <w:rFonts w:ascii="Microsoft JhengHei" w:hAnsi="Microsoft JhengHei" w:eastAsia="Microsoft JhengHei" w:cs="Microsoft JhengHei"/>
      <w:b/>
      <w:bCs/>
      <w:sz w:val="30"/>
      <w:szCs w:val="30"/>
      <w:lang w:val="zh-CN" w:eastAsia="zh-CN" w:bidi="zh-CN"/>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Body Text"/>
    <w:basedOn w:val="1"/>
    <w:link w:val="10"/>
    <w:qFormat/>
    <w:uiPriority w:val="1"/>
    <w:rPr>
      <w:sz w:val="32"/>
      <w:szCs w:val="32"/>
    </w:rPr>
  </w:style>
  <w:style w:type="paragraph" w:styleId="4">
    <w:name w:val="footer"/>
    <w:basedOn w:val="1"/>
    <w:link w:val="11"/>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7">
    <w:name w:val="Title"/>
    <w:basedOn w:val="1"/>
    <w:next w:val="1"/>
    <w:qFormat/>
    <w:uiPriority w:val="0"/>
    <w:pPr>
      <w:keepLines/>
      <w:pageBreakBefore/>
      <w:spacing w:before="240" w:after="120"/>
      <w:jc w:val="center"/>
      <w:outlineLvl w:val="0"/>
    </w:pPr>
    <w:rPr>
      <w:rFonts w:eastAsia="黑体"/>
      <w:b/>
      <w:sz w:val="36"/>
    </w:rPr>
  </w:style>
  <w:style w:type="character" w:customStyle="1" w:styleId="10">
    <w:name w:val="正文文本 字符"/>
    <w:basedOn w:val="9"/>
    <w:link w:val="3"/>
    <w:qFormat/>
    <w:uiPriority w:val="1"/>
    <w:rPr>
      <w:rFonts w:ascii="宋体" w:hAnsi="宋体" w:eastAsia="宋体" w:cs="宋体"/>
      <w:kern w:val="0"/>
      <w:sz w:val="32"/>
      <w:szCs w:val="32"/>
      <w:lang w:val="zh-CN" w:bidi="zh-CN"/>
    </w:rPr>
  </w:style>
  <w:style w:type="character" w:customStyle="1" w:styleId="11">
    <w:name w:val="页脚 字符"/>
    <w:basedOn w:val="9"/>
    <w:link w:val="4"/>
    <w:qFormat/>
    <w:uiPriority w:val="99"/>
    <w:rPr>
      <w:rFonts w:ascii="宋体" w:hAnsi="宋体" w:cs="宋体"/>
      <w:sz w:val="18"/>
      <w:szCs w:val="18"/>
      <w:lang w:val="zh-CN" w:bidi="zh-CN"/>
    </w:rPr>
  </w:style>
  <w:style w:type="character" w:customStyle="1" w:styleId="12">
    <w:name w:val="页眉 字符"/>
    <w:basedOn w:val="9"/>
    <w:link w:val="5"/>
    <w:qFormat/>
    <w:uiPriority w:val="99"/>
    <w:rPr>
      <w:rFonts w:ascii="宋体" w:hAnsi="宋体" w:cs="宋体"/>
      <w:sz w:val="18"/>
      <w:szCs w:val="18"/>
      <w:lang w:val="zh-CN" w:bidi="zh-CN"/>
    </w:rPr>
  </w:style>
  <w:style w:type="table" w:customStyle="1" w:styleId="13">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14">
    <w:name w:val="Table Paragraph"/>
    <w:basedOn w:val="1"/>
    <w:qFormat/>
    <w:uiPriority w:val="1"/>
    <w:pPr>
      <w:spacing w:before="96"/>
      <w:jc w:val="right"/>
    </w:pPr>
    <w:rPr>
      <w:rFonts w:ascii="仿宋" w:hAnsi="仿宋" w:eastAsia="仿宋" w:cs="仿宋"/>
    </w:rPr>
  </w:style>
  <w:style w:type="paragraph" w:customStyle="1" w:styleId="15">
    <w:name w:val="Body text|1"/>
    <w:basedOn w:val="1"/>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3673</Words>
  <Characters>3838</Characters>
  <Lines>10</Lines>
  <Paragraphs>2</Paragraphs>
  <TotalTime>4</TotalTime>
  <ScaleCrop>false</ScaleCrop>
  <LinksUpToDate>false</LinksUpToDate>
  <CharactersWithSpaces>3846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2023-04-27T01:47:00Z</dcterms:created>
  <dc:creator>lenovo</dc:creator>
  <cp:lastModifiedBy>悠闲自在</cp:lastModifiedBy>
  <cp:lastPrinted>2025-06-25T03:05:00Z</cp:lastPrinted>
  <dcterms:modified xsi:type="dcterms:W3CDTF">2025-06-25T03:42:34Z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0A00793BD8674C4AA9581D9D83F879E1_13</vt:lpwstr>
  </property>
  <property fmtid="{D5CDD505-2E9C-101B-9397-08002B2CF9AE}" pid="4" name="KSOTemplateDocerSaveRecord">
    <vt:lpwstr>eyJoZGlkIjoiYzc2ZDg4ZDBhZGQ0ODQ0NmEzODFhMzk5YTA0ODE1MDUiLCJ1c2VySWQiOiI0MzU2NTg0ODcifQ==</vt:lpwstr>
  </property>
</Properties>
</file>