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Times New Roman" w:hAnsi="Times New Roman"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嘉祥玖贡置业有限公司</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4</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val="en-US" w:eastAsia="zh-CN"/>
        </w:rPr>
        <w:t>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嘉祥玖贡置业有限公司是山东公用置业有限公司与九巨龙房地产开发集团</w:t>
      </w:r>
      <w:r>
        <w:rPr>
          <w:rFonts w:hint="eastAsia" w:ascii="Times New Roman" w:hAnsi="Times New Roman" w:eastAsia="方正仿宋简体" w:cs="Times New Roman"/>
          <w:b/>
          <w:bCs/>
          <w:sz w:val="32"/>
          <w:szCs w:val="32"/>
          <w:lang w:val="en-US" w:eastAsia="zh-CN"/>
        </w:rPr>
        <w:t>各</w:t>
      </w:r>
      <w:r>
        <w:rPr>
          <w:rFonts w:hint="default" w:ascii="Times New Roman" w:hAnsi="Times New Roman" w:eastAsia="方正仿宋简体" w:cs="Times New Roman"/>
          <w:b/>
          <w:bCs/>
          <w:sz w:val="32"/>
          <w:szCs w:val="32"/>
          <w:lang w:val="en-US" w:eastAsia="zh-CN"/>
        </w:rPr>
        <w:t>出资</w:t>
      </w:r>
      <w:r>
        <w:rPr>
          <w:rFonts w:hint="eastAsia" w:ascii="Times New Roman" w:hAnsi="Times New Roman" w:eastAsia="方正仿宋简体" w:cs="Times New Roman"/>
          <w:b/>
          <w:bCs/>
          <w:sz w:val="32"/>
          <w:szCs w:val="32"/>
          <w:lang w:val="en-US" w:eastAsia="zh-CN"/>
        </w:rPr>
        <w:t>50%</w:t>
      </w:r>
      <w:r>
        <w:rPr>
          <w:rFonts w:hint="default" w:ascii="Times New Roman" w:hAnsi="Times New Roman" w:eastAsia="方正仿宋简体" w:cs="Times New Roman"/>
          <w:b/>
          <w:bCs/>
          <w:sz w:val="32"/>
          <w:szCs w:val="32"/>
          <w:lang w:val="en-US" w:eastAsia="zh-CN"/>
        </w:rPr>
        <w:t>设立的企业</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成立于2018年8月</w:t>
      </w:r>
      <w:r>
        <w:rPr>
          <w:rFonts w:hint="eastAsia" w:ascii="Times New Roman" w:hAnsi="Times New Roman" w:eastAsia="方正仿宋简体" w:cs="Times New Roman"/>
          <w:b/>
          <w:bCs/>
          <w:sz w:val="32"/>
          <w:szCs w:val="32"/>
          <w:lang w:val="en-US" w:eastAsia="zh-CN"/>
        </w:rPr>
        <w:t>22日</w:t>
      </w:r>
      <w:r>
        <w:rPr>
          <w:rFonts w:hint="default" w:ascii="Times New Roman" w:hAnsi="Times New Roman" w:eastAsia="方正仿宋简体" w:cs="Times New Roman"/>
          <w:b/>
          <w:bCs/>
          <w:sz w:val="32"/>
          <w:szCs w:val="32"/>
          <w:lang w:val="en-US" w:eastAsia="zh-CN"/>
        </w:rPr>
        <w:t>，注册资本金2000万元</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经营范围包括房地产开发经营。（依法须经批准的项目，经相关部门批准后方可开展经营活动）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以“树立品牌形象，建设优质工程，打造诚信企业”为宗旨，一贯坚持以“市场为导向、开发为重点、经营为龙头、质量为根本”的开发理念和经营方针，致力于开发精品楼盘，优化嘉祥人居环境，精心为客户提供全方位、高品质的良好服务，走品牌化发展道路，开发项目以典雅恢弘的建筑，匠心独运的设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开发项目为嘉祥公用丨九巨龙·山水龙城，位于嘉祥县嘉祥街道，小区坐拥优越的青山绿水资源---萌山公园、萌山湖，“依山、傍水、拥湖、赏园”的同时，也规划设计了和项目浑然一体的园内景观。基于对高端人居的深刻洞察，打造智能化社区，聚焦城市高端科技，小区内安装社区直饮水系统、智能入户、社区安防系统、可视对讲、快递智能收发系统、社区WIFI系统，科技融入社区的每一个角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企业名称：嘉祥玖贡置业有限公司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注册地址：山东省济宁市嘉祥县获麟街115号（自来水公司院内）3号楼二楼东侧北首第一间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登记机关：济宁市嘉祥县行政审批服务局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成立日期：2018年08月22日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楷体简体" w:cs="方正楷体简体"/>
          <w:b/>
          <w:bCs/>
          <w:sz w:val="32"/>
          <w:szCs w:val="32"/>
        </w:rPr>
        <w:t>（三）机构设置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公司设董事会，成员5人；设总经理1人；设6个部室、1个项目部，分别为：综合部、财务部、工程部、成本部、采购部、销售部、山水龙城项目部。</w:t>
      </w:r>
    </w:p>
    <w:p>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940" w:type="dxa"/>
        <w:jc w:val="center"/>
        <w:tblLayout w:type="autofit"/>
        <w:tblCellMar>
          <w:top w:w="0" w:type="dxa"/>
          <w:left w:w="108" w:type="dxa"/>
          <w:bottom w:w="0" w:type="dxa"/>
          <w:right w:w="108" w:type="dxa"/>
        </w:tblCellMar>
      </w:tblPr>
      <w:tblGrid>
        <w:gridCol w:w="1317"/>
        <w:gridCol w:w="1769"/>
        <w:gridCol w:w="2042"/>
        <w:gridCol w:w="2042"/>
        <w:gridCol w:w="1770"/>
      </w:tblGrid>
      <w:tr>
        <w:tblPrEx>
          <w:tblCellMar>
            <w:top w:w="0" w:type="dxa"/>
            <w:left w:w="108" w:type="dxa"/>
            <w:bottom w:w="0" w:type="dxa"/>
            <w:right w:w="108" w:type="dxa"/>
          </w:tblCellMar>
        </w:tblPrEx>
        <w:trPr>
          <w:trHeight w:val="525" w:hRule="atLeast"/>
          <w:jc w:val="center"/>
        </w:trPr>
        <w:tc>
          <w:tcPr>
            <w:tcW w:w="8940" w:type="dxa"/>
            <w:gridSpan w:val="5"/>
            <w:tcBorders>
              <w:top w:val="nil"/>
              <w:left w:val="nil"/>
              <w:bottom w:val="nil"/>
              <w:right w:val="nil"/>
            </w:tcBorders>
            <w:shd w:val="clear" w:color="auto" w:fill="auto"/>
            <w:noWrap/>
            <w:vAlign w:val="center"/>
          </w:tcPr>
          <w:p>
            <w:pPr>
              <w:widowControl/>
              <w:textAlignment w:val="center"/>
              <w:rPr>
                <w:rFonts w:ascii="Times New Roman" w:hAnsi="Times New Roman" w:eastAsia="宋体" w:cs="宋体"/>
                <w:color w:val="000000"/>
                <w:sz w:val="22"/>
                <w:szCs w:val="22"/>
              </w:rPr>
            </w:pPr>
            <w:r>
              <w:rPr>
                <w:rFonts w:hint="eastAsia" w:ascii="Times New Roman" w:hAnsi="Times New Roman" w:eastAsia="宋体" w:cs="宋体"/>
                <w:color w:val="000000"/>
                <w:kern w:val="0"/>
                <w:sz w:val="22"/>
                <w:szCs w:val="22"/>
              </w:rPr>
              <w:t>单位： 嘉祥玖贡置业有限公司                                           单位：万元</w:t>
            </w:r>
          </w:p>
        </w:tc>
      </w:tr>
      <w:tr>
        <w:tblPrEx>
          <w:tblCellMar>
            <w:top w:w="0" w:type="dxa"/>
            <w:left w:w="108" w:type="dxa"/>
            <w:bottom w:w="0" w:type="dxa"/>
            <w:right w:w="108" w:type="dxa"/>
          </w:tblCellMar>
        </w:tblPrEx>
        <w:trPr>
          <w:trHeight w:val="600" w:hRule="atLeast"/>
          <w:jc w:val="center"/>
        </w:trPr>
        <w:tc>
          <w:tcPr>
            <w:tcW w:w="1317"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769"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本期金额</w:t>
            </w:r>
          </w:p>
        </w:tc>
        <w:tc>
          <w:tcPr>
            <w:tcW w:w="2042"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年度预算目标</w:t>
            </w:r>
          </w:p>
        </w:tc>
        <w:tc>
          <w:tcPr>
            <w:tcW w:w="2042"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预算完成情况</w:t>
            </w:r>
          </w:p>
        </w:tc>
        <w:tc>
          <w:tcPr>
            <w:tcW w:w="177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上年同期</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营业总收入</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62,017.00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53,563.00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115.78%</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7,589.00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营业总成本</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48,742.00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44,542.00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109.43%</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7,158.00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利润总额</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13,277.00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9,024.00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147.13%</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438.00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净利润</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10,494.00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6,768.00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155.05%</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438.00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资产总额</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237,081.00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225,977.00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104.91%</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244,712.00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负债总额</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226,734.00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219,467.00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103.31%</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244,859.00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所有者权益</w:t>
            </w:r>
          </w:p>
        </w:tc>
        <w:tc>
          <w:tcPr>
            <w:tcW w:w="176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10,347.00</w:t>
            </w:r>
          </w:p>
        </w:tc>
        <w:tc>
          <w:tcPr>
            <w:tcW w:w="204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6,511.00</w:t>
            </w:r>
          </w:p>
        </w:tc>
        <w:tc>
          <w:tcPr>
            <w:tcW w:w="204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158.92%</w:t>
            </w:r>
          </w:p>
        </w:tc>
        <w:tc>
          <w:tcPr>
            <w:tcW w:w="17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-147.00</w:t>
            </w:r>
          </w:p>
        </w:tc>
      </w:tr>
    </w:tbl>
    <w:p>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lang w:val="en-US" w:eastAsia="zh-CN"/>
        </w:rPr>
        <w:t>2024年度</w:t>
      </w:r>
      <w:r>
        <w:rPr>
          <w:rFonts w:hint="eastAsia" w:ascii="Times New Roman" w:hAnsi="Times New Roman" w:eastAsia="方正仿宋简体" w:cs="方正仿宋简体"/>
          <w:b/>
          <w:bCs/>
          <w:sz w:val="32"/>
          <w:szCs w:val="32"/>
        </w:rPr>
        <w:t>累计实现营业收入</w:t>
      </w:r>
      <w:r>
        <w:rPr>
          <w:rFonts w:hint="eastAsia" w:ascii="Times New Roman" w:hAnsi="Times New Roman" w:eastAsia="方正仿宋简体" w:cs="方正仿宋简体"/>
          <w:b/>
          <w:bCs/>
          <w:sz w:val="32"/>
          <w:szCs w:val="32"/>
          <w:lang w:val="en-US" w:eastAsia="zh-CN"/>
        </w:rPr>
        <w:t>6.2亿</w:t>
      </w:r>
      <w:r>
        <w:rPr>
          <w:rFonts w:hint="eastAsia" w:ascii="Times New Roman" w:hAnsi="Times New Roman" w:eastAsia="方正仿宋简体" w:cs="方正仿宋简体"/>
          <w:b/>
          <w:bCs/>
          <w:sz w:val="32"/>
          <w:szCs w:val="32"/>
        </w:rPr>
        <w:t>元</w:t>
      </w:r>
      <w:r>
        <w:rPr>
          <w:rFonts w:hint="eastAsia" w:ascii="Times New Roman" w:hAnsi="Times New Roman" w:eastAsia="方正仿宋简体" w:cs="方正仿宋简体"/>
          <w:b/>
          <w:bCs/>
          <w:sz w:val="32"/>
          <w:szCs w:val="32"/>
          <w:lang w:eastAsia="zh-CN"/>
        </w:rPr>
        <w:t>，较全年预算目标</w:t>
      </w:r>
      <w:r>
        <w:rPr>
          <w:rFonts w:hint="eastAsia" w:ascii="Times New Roman" w:hAnsi="Times New Roman" w:eastAsia="方正仿宋简体" w:cs="方正仿宋简体"/>
          <w:b/>
          <w:bCs/>
          <w:sz w:val="32"/>
          <w:szCs w:val="32"/>
          <w:lang w:val="en-US" w:eastAsia="zh-CN"/>
        </w:rPr>
        <w:t>5.35</w:t>
      </w:r>
      <w:r>
        <w:rPr>
          <w:rFonts w:hint="eastAsia" w:ascii="Times New Roman" w:hAnsi="Times New Roman" w:eastAsia="方正仿宋简体" w:cs="方正仿宋简体"/>
          <w:b/>
          <w:bCs/>
          <w:sz w:val="32"/>
          <w:szCs w:val="32"/>
          <w:lang w:eastAsia="zh-CN"/>
        </w:rPr>
        <w:t>亿元完成</w:t>
      </w:r>
      <w:r>
        <w:rPr>
          <w:rFonts w:hint="eastAsia" w:ascii="Times New Roman" w:hAnsi="Times New Roman" w:eastAsia="方正仿宋简体" w:cs="方正仿宋简体"/>
          <w:b/>
          <w:bCs/>
          <w:sz w:val="32"/>
          <w:szCs w:val="32"/>
          <w:lang w:val="en-US" w:eastAsia="zh-CN"/>
        </w:rPr>
        <w:t>115.78</w:t>
      </w:r>
      <w:r>
        <w:rPr>
          <w:rFonts w:hint="eastAsia" w:ascii="Times New Roman" w:hAnsi="Times New Roman" w:eastAsia="方正仿宋简体" w:cs="方正仿宋简体"/>
          <w:b/>
          <w:bCs/>
          <w:sz w:val="32"/>
          <w:szCs w:val="32"/>
          <w:lang w:eastAsia="zh-CN"/>
        </w:rPr>
        <w:t>%</w:t>
      </w:r>
      <w:r>
        <w:rPr>
          <w:rFonts w:hint="eastAsia" w:ascii="Times New Roman" w:hAnsi="Times New Roman" w:eastAsia="方正仿宋简体" w:cs="方正仿宋简体"/>
          <w:b/>
          <w:bCs/>
          <w:sz w:val="32"/>
          <w:szCs w:val="32"/>
        </w:rPr>
        <w:t>；累计实现利润总额</w:t>
      </w:r>
      <w:r>
        <w:rPr>
          <w:rFonts w:hint="eastAsia" w:ascii="Times New Roman" w:hAnsi="Times New Roman" w:eastAsia="方正仿宋简体" w:cs="方正仿宋简体"/>
          <w:b/>
          <w:bCs/>
          <w:sz w:val="32"/>
          <w:szCs w:val="32"/>
          <w:lang w:val="en-US" w:eastAsia="zh-CN"/>
        </w:rPr>
        <w:t>1.33亿</w:t>
      </w:r>
      <w:r>
        <w:rPr>
          <w:rFonts w:hint="eastAsia" w:ascii="Times New Roman" w:hAnsi="Times New Roman" w:eastAsia="方正仿宋简体" w:cs="方正仿宋简体"/>
          <w:b/>
          <w:bCs/>
          <w:sz w:val="32"/>
          <w:szCs w:val="32"/>
        </w:rPr>
        <w:t>元，较全年预算目标</w:t>
      </w:r>
      <w:r>
        <w:rPr>
          <w:rFonts w:hint="eastAsia" w:ascii="Times New Roman" w:hAnsi="Times New Roman" w:eastAsia="方正仿宋简体" w:cs="方正仿宋简体"/>
          <w:b/>
          <w:bCs/>
          <w:sz w:val="32"/>
          <w:szCs w:val="32"/>
          <w:lang w:val="en-US" w:eastAsia="zh-CN"/>
        </w:rPr>
        <w:t>0.9亿</w:t>
      </w:r>
      <w:r>
        <w:rPr>
          <w:rFonts w:hint="eastAsia" w:ascii="Times New Roman" w:hAnsi="Times New Roman" w:eastAsia="方正仿宋简体" w:cs="方正仿宋简体"/>
          <w:b/>
          <w:bCs/>
          <w:sz w:val="32"/>
          <w:szCs w:val="32"/>
        </w:rPr>
        <w:t>元完成</w:t>
      </w:r>
      <w:r>
        <w:rPr>
          <w:rFonts w:hint="eastAsia" w:ascii="Times New Roman" w:hAnsi="Times New Roman" w:eastAsia="方正仿宋简体" w:cs="方正仿宋简体"/>
          <w:b/>
          <w:bCs/>
          <w:sz w:val="32"/>
          <w:szCs w:val="32"/>
          <w:lang w:val="en-US" w:eastAsia="zh-CN"/>
        </w:rPr>
        <w:t>147.13%</w:t>
      </w:r>
      <w:r>
        <w:rPr>
          <w:rFonts w:hint="eastAsia"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val="en-US" w:eastAsia="zh-CN"/>
        </w:rPr>
        <w:t>2024年度</w:t>
      </w:r>
      <w:r>
        <w:rPr>
          <w:rFonts w:hint="eastAsia" w:ascii="Times New Roman" w:hAnsi="Times New Roman" w:eastAsia="方正仿宋简体" w:cs="方正仿宋简体"/>
          <w:b/>
          <w:bCs/>
          <w:sz w:val="32"/>
          <w:szCs w:val="32"/>
        </w:rPr>
        <w:t>资产负债率</w:t>
      </w:r>
      <w:r>
        <w:rPr>
          <w:rFonts w:hint="eastAsia" w:ascii="Times New Roman" w:hAnsi="Times New Roman" w:eastAsia="方正仿宋简体" w:cs="方正仿宋简体"/>
          <w:b/>
          <w:bCs/>
          <w:sz w:val="32"/>
          <w:szCs w:val="32"/>
          <w:lang w:val="en-US" w:eastAsia="zh-CN"/>
        </w:rPr>
        <w:t>95.63%</w:t>
      </w:r>
      <w:r>
        <w:rPr>
          <w:rFonts w:hint="eastAsia" w:ascii="Times New Roman" w:hAnsi="Times New Roman" w:eastAsia="方正仿宋简体" w:cs="方正仿宋简体"/>
          <w:b/>
          <w:bCs/>
          <w:sz w:val="32"/>
          <w:szCs w:val="32"/>
        </w:rPr>
        <w:t>，比去年同期的</w:t>
      </w:r>
      <w:r>
        <w:rPr>
          <w:rFonts w:hint="eastAsia" w:ascii="Times New Roman" w:hAnsi="Times New Roman" w:eastAsia="方正仿宋简体" w:cs="方正仿宋简体"/>
          <w:b/>
          <w:bCs/>
          <w:sz w:val="32"/>
          <w:szCs w:val="32"/>
          <w:lang w:val="en-US" w:eastAsia="zh-CN"/>
        </w:rPr>
        <w:t>100.06%下降</w:t>
      </w:r>
      <w:r>
        <w:rPr>
          <w:rFonts w:hint="eastAsia" w:ascii="Times New Roman" w:hAnsi="Times New Roman" w:eastAsia="方正仿宋简体" w:cs="方正仿宋简体"/>
          <w:b/>
          <w:bCs/>
          <w:sz w:val="32"/>
          <w:szCs w:val="32"/>
        </w:rPr>
        <w:t>了</w:t>
      </w:r>
      <w:r>
        <w:rPr>
          <w:rFonts w:hint="eastAsia" w:ascii="Times New Roman" w:hAnsi="Times New Roman" w:eastAsia="方正仿宋简体" w:cs="方正仿宋简体"/>
          <w:b/>
          <w:bCs/>
          <w:sz w:val="32"/>
          <w:szCs w:val="32"/>
          <w:lang w:val="en-US" w:eastAsia="zh-CN"/>
        </w:rPr>
        <w:t>4.43</w:t>
      </w:r>
      <w:r>
        <w:rPr>
          <w:rFonts w:hint="eastAsia" w:ascii="Times New Roman" w:hAnsi="Times New Roman" w:eastAsia="方正仿宋简体" w:cs="方正仿宋简体"/>
          <w:b/>
          <w:bCs/>
          <w:sz w:val="32"/>
          <w:szCs w:val="32"/>
        </w:rPr>
        <w:t>个百分点。</w:t>
      </w:r>
    </w:p>
    <w:p>
      <w:p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w:t>
      </w:r>
      <w:r>
        <w:rPr>
          <w:rFonts w:ascii="Times New Roman" w:hAnsi="Times New Roman" w:eastAsia="方正黑体简体" w:cs="Times New Roman"/>
          <w:b/>
          <w:bCs/>
          <w:sz w:val="32"/>
          <w:szCs w:val="32"/>
        </w:rPr>
        <w:t>、</w:t>
      </w:r>
      <w:r>
        <w:rPr>
          <w:rFonts w:hint="eastAsia" w:ascii="Times New Roman" w:hAnsi="Times New Roman" w:eastAsia="方正黑体简体" w:cs="Times New Roman"/>
          <w:b/>
          <w:bCs/>
          <w:sz w:val="32"/>
          <w:szCs w:val="32"/>
          <w:lang w:val="en-US" w:eastAsia="zh-CN"/>
        </w:rPr>
        <w:t>年度</w:t>
      </w:r>
      <w:bookmarkStart w:id="0" w:name="_GoBack"/>
      <w:bookmarkEnd w:id="0"/>
      <w:r>
        <w:rPr>
          <w:rFonts w:hint="eastAsia" w:ascii="Times New Roman" w:hAnsi="Times New Roman" w:eastAsia="方正黑体简体" w:cs="Times New Roman"/>
          <w:b/>
          <w:bCs/>
          <w:sz w:val="32"/>
          <w:szCs w:val="32"/>
          <w:lang w:val="en-US" w:eastAsia="zh-CN"/>
        </w:rPr>
        <w:t>内发生的重大事项及对公司的影响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方正仿宋简体"/>
          <w:b/>
          <w:bCs/>
          <w:sz w:val="32"/>
          <w:szCs w:val="32"/>
          <w:lang w:val="en-US" w:eastAsia="zh-CN"/>
        </w:rPr>
      </w:pPr>
      <w:r>
        <w:rPr>
          <w:rFonts w:hint="eastAsia" w:ascii="Times New Roman" w:hAnsi="Times New Roman" w:eastAsia="方正仿宋简体" w:cs="方正仿宋简体"/>
          <w:b/>
          <w:bCs/>
          <w:sz w:val="32"/>
          <w:szCs w:val="32"/>
          <w:lang w:val="en-US" w:eastAsia="zh-CN"/>
        </w:rPr>
        <w:t>未发生重大事项。</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Helvetica Neue">
    <w:altName w:val="宋体"/>
    <w:panose1 w:val="00000000000000000000"/>
    <w:charset w:val="86"/>
    <w:family w:val="roman"/>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NGYxNDlhOGMxM2M2NGQwNTVjMzllMGQ4ZGMyNjcifQ=="/>
  </w:docVars>
  <w:rsids>
    <w:rsidRoot w:val="28E8704B"/>
    <w:rsid w:val="00023E53"/>
    <w:rsid w:val="00064C10"/>
    <w:rsid w:val="000B3C65"/>
    <w:rsid w:val="000B768B"/>
    <w:rsid w:val="000F4906"/>
    <w:rsid w:val="001048D2"/>
    <w:rsid w:val="001225CF"/>
    <w:rsid w:val="0016636E"/>
    <w:rsid w:val="00173818"/>
    <w:rsid w:val="001E70D3"/>
    <w:rsid w:val="001F0930"/>
    <w:rsid w:val="00243895"/>
    <w:rsid w:val="002659B0"/>
    <w:rsid w:val="0027474F"/>
    <w:rsid w:val="002F0D05"/>
    <w:rsid w:val="0033664A"/>
    <w:rsid w:val="00387CC5"/>
    <w:rsid w:val="003A2581"/>
    <w:rsid w:val="003B2746"/>
    <w:rsid w:val="003C0776"/>
    <w:rsid w:val="003D4ECA"/>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21990"/>
    <w:rsid w:val="00956D2F"/>
    <w:rsid w:val="009A5685"/>
    <w:rsid w:val="009D48DC"/>
    <w:rsid w:val="009E5784"/>
    <w:rsid w:val="00A45B31"/>
    <w:rsid w:val="00A87960"/>
    <w:rsid w:val="00B47D29"/>
    <w:rsid w:val="00B72AA9"/>
    <w:rsid w:val="00BA5853"/>
    <w:rsid w:val="00C34F1A"/>
    <w:rsid w:val="00C471A1"/>
    <w:rsid w:val="00C60935"/>
    <w:rsid w:val="00C65F09"/>
    <w:rsid w:val="00C6627E"/>
    <w:rsid w:val="00D153C1"/>
    <w:rsid w:val="00D2501B"/>
    <w:rsid w:val="00D33D8F"/>
    <w:rsid w:val="00D34D61"/>
    <w:rsid w:val="00D43CE6"/>
    <w:rsid w:val="00DA289F"/>
    <w:rsid w:val="00DB13BB"/>
    <w:rsid w:val="00E01818"/>
    <w:rsid w:val="00E0765F"/>
    <w:rsid w:val="00E25793"/>
    <w:rsid w:val="00E60C18"/>
    <w:rsid w:val="00E6208D"/>
    <w:rsid w:val="00EC0809"/>
    <w:rsid w:val="00F53553"/>
    <w:rsid w:val="026B117B"/>
    <w:rsid w:val="04C07E5F"/>
    <w:rsid w:val="06D01345"/>
    <w:rsid w:val="08246BD0"/>
    <w:rsid w:val="0DD16F1A"/>
    <w:rsid w:val="122F2667"/>
    <w:rsid w:val="1626244B"/>
    <w:rsid w:val="19560A59"/>
    <w:rsid w:val="1C062742"/>
    <w:rsid w:val="1C496371"/>
    <w:rsid w:val="1C5D2A39"/>
    <w:rsid w:val="1C8F2AE8"/>
    <w:rsid w:val="1FFE67CB"/>
    <w:rsid w:val="21785B44"/>
    <w:rsid w:val="2375417F"/>
    <w:rsid w:val="25486BE3"/>
    <w:rsid w:val="26A93DBD"/>
    <w:rsid w:val="27307EC4"/>
    <w:rsid w:val="27F03E2A"/>
    <w:rsid w:val="28716ED4"/>
    <w:rsid w:val="28E8704B"/>
    <w:rsid w:val="290C75C1"/>
    <w:rsid w:val="297C7D06"/>
    <w:rsid w:val="29D47C5C"/>
    <w:rsid w:val="2A4822AF"/>
    <w:rsid w:val="2C7D50CC"/>
    <w:rsid w:val="2E8D617B"/>
    <w:rsid w:val="32777821"/>
    <w:rsid w:val="334308AF"/>
    <w:rsid w:val="38C501C8"/>
    <w:rsid w:val="39AE61CA"/>
    <w:rsid w:val="3C4F1CAB"/>
    <w:rsid w:val="3D910776"/>
    <w:rsid w:val="3DC4168B"/>
    <w:rsid w:val="3DF23407"/>
    <w:rsid w:val="3EA017DC"/>
    <w:rsid w:val="3FBD419A"/>
    <w:rsid w:val="419C0824"/>
    <w:rsid w:val="4228602D"/>
    <w:rsid w:val="42335C28"/>
    <w:rsid w:val="425E3225"/>
    <w:rsid w:val="44244964"/>
    <w:rsid w:val="444B4611"/>
    <w:rsid w:val="455B3491"/>
    <w:rsid w:val="487B16B3"/>
    <w:rsid w:val="49094950"/>
    <w:rsid w:val="4BCB5DD0"/>
    <w:rsid w:val="4EC937F4"/>
    <w:rsid w:val="4EEF2F58"/>
    <w:rsid w:val="4FB8342C"/>
    <w:rsid w:val="52DF6C8B"/>
    <w:rsid w:val="536B2CB8"/>
    <w:rsid w:val="57404164"/>
    <w:rsid w:val="576B5048"/>
    <w:rsid w:val="5AA17B99"/>
    <w:rsid w:val="5AD277FB"/>
    <w:rsid w:val="5B997612"/>
    <w:rsid w:val="5C24341D"/>
    <w:rsid w:val="5E145AF2"/>
    <w:rsid w:val="5E830FE3"/>
    <w:rsid w:val="5F412942"/>
    <w:rsid w:val="5FA47421"/>
    <w:rsid w:val="60785E58"/>
    <w:rsid w:val="61B5226F"/>
    <w:rsid w:val="61C54758"/>
    <w:rsid w:val="655D0199"/>
    <w:rsid w:val="66792F89"/>
    <w:rsid w:val="66EC3CFC"/>
    <w:rsid w:val="68D03AD7"/>
    <w:rsid w:val="692A1D76"/>
    <w:rsid w:val="6A5519A2"/>
    <w:rsid w:val="6C305B70"/>
    <w:rsid w:val="6CDE381E"/>
    <w:rsid w:val="6D8C75E7"/>
    <w:rsid w:val="6E19256C"/>
    <w:rsid w:val="6F386241"/>
    <w:rsid w:val="6F481423"/>
    <w:rsid w:val="71D022E5"/>
    <w:rsid w:val="72DC21B0"/>
    <w:rsid w:val="73E963DB"/>
    <w:rsid w:val="75D26FF0"/>
    <w:rsid w:val="75EB3B8E"/>
    <w:rsid w:val="7ACE35B6"/>
    <w:rsid w:val="7C454C0F"/>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正文1"/>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 w:type="paragraph" w:customStyle="1" w:styleId="11">
    <w:name w:val="默认"/>
    <w:qFormat/>
    <w:uiPriority w:val="0"/>
    <w:pPr>
      <w:framePr w:wrap="around" w:vAnchor="margin" w:hAnchor="text" w:y="1"/>
      <w:spacing w:before="160"/>
    </w:pPr>
    <w:rPr>
      <w:rFonts w:hint="eastAsia" w:ascii="Arial Unicode MS" w:hAnsi="Arial Unicode MS" w:eastAsia="Helvetica Neue" w:cs="Arial Unicode MS"/>
      <w:color w:val="000000"/>
      <w:sz w:val="24"/>
      <w:szCs w:val="24"/>
      <w:lang w:val="zh-CN" w:eastAsia="zh-CN" w:bidi="ar-SA"/>
    </w:rPr>
  </w:style>
  <w:style w:type="character" w:customStyle="1" w:styleId="12">
    <w:name w:val="font11"/>
    <w:basedOn w:val="6"/>
    <w:qFormat/>
    <w:uiPriority w:val="0"/>
    <w:rPr>
      <w:rFonts w:hint="eastAsia" w:ascii="宋体" w:hAnsi="宋体" w:eastAsia="宋体" w:cs="宋体"/>
      <w:color w:val="000000"/>
      <w:sz w:val="22"/>
      <w:szCs w:val="22"/>
      <w:u w:val="none"/>
    </w:rPr>
  </w:style>
  <w:style w:type="character" w:customStyle="1" w:styleId="13">
    <w:name w:val="font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891</Words>
  <Characters>1160</Characters>
  <Lines>8</Lines>
  <Paragraphs>2</Paragraphs>
  <TotalTime>21</TotalTime>
  <ScaleCrop>false</ScaleCrop>
  <LinksUpToDate>false</LinksUpToDate>
  <CharactersWithSpaces>1209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2025-06-30T08:32:57Z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46431C416B6C47AEB559E909CCA891F7_13</vt:lpwstr>
  </property>
  <property fmtid="{D5CDD505-2E9C-101B-9397-08002B2CF9AE}" pid="4" name="commondata">
    <vt:lpwstr>eyJoZGlkIjoiMzIxYmMwMDJkYjZiMmFlYzdhY2YzYTliOWFhN2UxMzIifQ==</vt:lpwstr>
  </property>
  <property fmtid="{D5CDD505-2E9C-101B-9397-08002B2CF9AE}" pid="5" name="KSOTemplateDocerSaveRecord">
    <vt:lpwstr>eyJoZGlkIjoiMDIzYTI1YjJlMWM4NDc2MWE4ZWJhZmI4MzU3MzZhNDIiLCJ1c2VySWQiOiI0MDM2MDQ2NDIifQ==</vt:lpwstr>
  </property>
</Properties>
</file>