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山东公用置业集团有限公司 </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lang w:val="en-US" w:eastAsia="zh-CN"/>
        </w:rPr>
        <w:t>2024年度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公司基本情况</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pPr>
        <w:spacing w:line="560" w:lineRule="exact"/>
        <w:ind w:firstLine="643" w:firstLineChars="200"/>
        <w:rPr>
          <w:rFonts w:ascii="Times New Roman" w:hAnsi="Times New Roman" w:eastAsiaTheme="majorEastAsia" w:cstheme="majorEastAsia"/>
          <w:b/>
          <w:bCs/>
          <w:sz w:val="32"/>
          <w:szCs w:val="32"/>
        </w:rPr>
      </w:pPr>
      <w:r>
        <w:rPr>
          <w:rFonts w:hint="eastAsia" w:ascii="Times New Roman" w:hAnsi="Times New Roman" w:eastAsia="方正仿宋简体" w:cs="方正仿宋简体"/>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企业名称：山东公用置业集团有限公司</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经营范围：房地产开发经营；物业管理；自有房地产经营活动；商品房销售；房地产投资；建筑工程施工；装饰装修；建筑材料销售；房地产信息查询；房屋出租。</w:t>
      </w:r>
    </w:p>
    <w:p>
      <w:pPr>
        <w:spacing w:line="560" w:lineRule="exact"/>
        <w:ind w:left="2092" w:leftChars="996"/>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（依法须经批准的项目，经相关部门批准后开展经营活动）</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成立日期：2019年8月21日</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注册地址：山东省济宁市任城区红星中路23号</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登记机关：济宁市行政审批服务局</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公司设董事会，董事长1人、董事2人，监事1人。内部机构设置三部一室：综合办公室、计划财务部、市场发展部、工程管理部。</w:t>
      </w:r>
    </w:p>
    <w:p>
      <w:pPr>
        <w:spacing w:line="560" w:lineRule="exact"/>
        <w:ind w:firstLine="643" w:firstLineChars="200"/>
        <w:rPr>
          <w:rFonts w:hint="eastAsia" w:ascii="Times New Roman" w:hAnsi="Times New Roman" w:eastAsia="方正仿宋简体" w:cs="方正仿宋简体"/>
          <w:b/>
          <w:bCs/>
          <w:sz w:val="32"/>
          <w:szCs w:val="32"/>
        </w:rPr>
      </w:pP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主要会计数据和财务指标</w:t>
      </w:r>
    </w:p>
    <w:tbl>
      <w:tblPr>
        <w:tblStyle w:val="5"/>
        <w:tblW w:w="5000" w:type="pct"/>
        <w:tblInd w:w="0" w:type="dxa"/>
        <w:tblLayout w:type="fixed"/>
        <w:tblCellMar>
          <w:top w:w="0" w:type="dxa"/>
          <w:left w:w="108" w:type="dxa"/>
          <w:bottom w:w="0" w:type="dxa"/>
          <w:right w:w="108" w:type="dxa"/>
        </w:tblCellMar>
      </w:tblPr>
      <w:tblGrid>
        <w:gridCol w:w="1444"/>
        <w:gridCol w:w="1901"/>
        <w:gridCol w:w="2037"/>
        <w:gridCol w:w="1821"/>
        <w:gridCol w:w="1857"/>
      </w:tblGrid>
      <w:tr>
        <w:tblPrEx>
          <w:tblCellMar>
            <w:top w:w="0" w:type="dxa"/>
            <w:left w:w="108" w:type="dxa"/>
            <w:bottom w:w="0" w:type="dxa"/>
            <w:right w:w="108" w:type="dxa"/>
          </w:tblCellMar>
        </w:tblPrEx>
        <w:trPr>
          <w:trHeight w:val="610" w:hRule="atLeast"/>
        </w:trPr>
        <w:tc>
          <w:tcPr>
            <w:tcW w:w="5000" w:type="pct"/>
            <w:gridSpan w:val="5"/>
            <w:tcBorders>
              <w:top w:val="nil"/>
              <w:left w:val="nil"/>
              <w:bottom w:val="single" w:color="auto" w:sz="8" w:space="0"/>
              <w:right w:val="nil"/>
            </w:tcBorders>
            <w:shd w:val="clear" w:color="auto" w:fill="auto"/>
            <w:noWrap/>
            <w:vAlign w:val="center"/>
          </w:tcPr>
          <w:p>
            <w:pPr>
              <w:widowControl/>
              <w:jc w:val="left"/>
              <w:rPr>
                <w:rFonts w:ascii="Times New Roman" w:hAnsi="Times New Roman" w:eastAsia="宋体" w:cs="宋体"/>
                <w:color w:val="000000"/>
                <w:kern w:val="0"/>
                <w:sz w:val="22"/>
                <w:szCs w:val="22"/>
              </w:rPr>
            </w:pPr>
            <w:r>
              <w:rPr>
                <w:rFonts w:hint="eastAsia" w:ascii="Times New Roman" w:hAnsi="Times New Roman" w:eastAsia="宋体" w:cs="宋体"/>
                <w:color w:val="000000"/>
                <w:kern w:val="0"/>
                <w:sz w:val="22"/>
                <w:szCs w:val="22"/>
              </w:rPr>
              <w:t>单位： 山东公用置业集团有限公司（合并）              单位：万元</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212,653</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166,817.00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127.48%</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280,703</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193343</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153,199.00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126.20%</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248689</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22,498</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21,775.00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103.32%</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36,452</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16,960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17,263.00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98.24%</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28,250</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1,100,090</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1,119,332.00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98.28%</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1,188,369</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90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870,008</w:t>
            </w:r>
          </w:p>
        </w:tc>
        <w:tc>
          <w:tcPr>
            <w:tcW w:w="20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885,050.00</w:t>
            </w:r>
          </w:p>
        </w:tc>
        <w:tc>
          <w:tcPr>
            <w:tcW w:w="182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98.30%</w:t>
            </w:r>
          </w:p>
        </w:tc>
        <w:tc>
          <w:tcPr>
            <w:tcW w:w="1857" w:type="dxa"/>
            <w:tcBorders>
              <w:top w:val="nil"/>
              <w:left w:val="nil"/>
              <w:bottom w:val="single" w:color="auto" w:sz="4"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973,247</w:t>
            </w:r>
          </w:p>
        </w:tc>
      </w:tr>
      <w:tr>
        <w:tblPrEx>
          <w:tblCellMar>
            <w:top w:w="0" w:type="dxa"/>
            <w:left w:w="108" w:type="dxa"/>
            <w:bottom w:w="0" w:type="dxa"/>
            <w:right w:w="108" w:type="dxa"/>
          </w:tblCellMar>
        </w:tblPrEx>
        <w:trPr>
          <w:trHeight w:val="600" w:hRule="atLeast"/>
        </w:trPr>
        <w:tc>
          <w:tcPr>
            <w:tcW w:w="1444" w:type="dxa"/>
            <w:tcBorders>
              <w:top w:val="nil"/>
              <w:left w:val="single" w:color="auto" w:sz="8" w:space="0"/>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kern w:val="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901"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230,082</w:t>
            </w:r>
          </w:p>
        </w:tc>
        <w:tc>
          <w:tcPr>
            <w:tcW w:w="2037"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234,282.00</w:t>
            </w:r>
          </w:p>
        </w:tc>
        <w:tc>
          <w:tcPr>
            <w:tcW w:w="1821" w:type="dxa"/>
            <w:tcBorders>
              <w:top w:val="nil"/>
              <w:left w:val="nil"/>
              <w:bottom w:val="single" w:color="auto" w:sz="8"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98.21%</w:t>
            </w:r>
          </w:p>
        </w:tc>
        <w:tc>
          <w:tcPr>
            <w:tcW w:w="1857" w:type="dxa"/>
            <w:tcBorders>
              <w:top w:val="nil"/>
              <w:left w:val="nil"/>
              <w:bottom w:val="single" w:color="auto" w:sz="8" w:space="0"/>
              <w:right w:val="single" w:color="auto"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215,123</w:t>
            </w:r>
          </w:p>
        </w:tc>
      </w:tr>
    </w:tbl>
    <w:p>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2024年度</w:t>
      </w:r>
      <w:r>
        <w:rPr>
          <w:rFonts w:ascii="Times New Roman" w:hAnsi="Times New Roman" w:eastAsia="方正仿宋简体" w:cs="方正仿宋简体"/>
          <w:b/>
          <w:bCs/>
          <w:color w:val="auto"/>
          <w:kern w:val="2"/>
          <w:sz w:val="32"/>
          <w:szCs w:val="32"/>
        </w:rPr>
        <w:t>置业集团合并口径：累计实现营业收入</w:t>
      </w:r>
      <w:r>
        <w:rPr>
          <w:rFonts w:hint="eastAsia" w:ascii="Times New Roman" w:hAnsi="Times New Roman" w:eastAsia="方正仿宋简体" w:cs="方正仿宋简体"/>
          <w:b/>
          <w:bCs/>
          <w:color w:val="auto"/>
          <w:kern w:val="2"/>
          <w:sz w:val="32"/>
          <w:szCs w:val="32"/>
          <w:lang w:val="en-US" w:eastAsia="zh-CN"/>
        </w:rPr>
        <w:t>21.26</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16.68</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127.48%</w:t>
      </w:r>
      <w:r>
        <w:rPr>
          <w:rFonts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2.25亿元</w:t>
      </w:r>
      <w:r>
        <w:rPr>
          <w:rFonts w:ascii="Times New Roman" w:hAnsi="Times New Roman" w:eastAsia="方正仿宋简体" w:cs="方正仿宋简体"/>
          <w:b/>
          <w:bCs/>
          <w:color w:val="auto"/>
          <w:kern w:val="2"/>
          <w:sz w:val="32"/>
          <w:szCs w:val="32"/>
        </w:rPr>
        <w:t>，完成全年预算</w:t>
      </w:r>
      <w:r>
        <w:rPr>
          <w:rFonts w:hint="eastAsia" w:ascii="Times New Roman" w:hAnsi="Times New Roman" w:eastAsia="方正仿宋简体" w:cs="方正仿宋简体"/>
          <w:b/>
          <w:bCs/>
          <w:color w:val="auto"/>
          <w:kern w:val="2"/>
          <w:sz w:val="32"/>
          <w:szCs w:val="32"/>
          <w:lang w:val="en-US" w:eastAsia="zh-CN"/>
        </w:rPr>
        <w:t>2.18</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103.32%</w:t>
      </w:r>
      <w:r>
        <w:rPr>
          <w:rFonts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1.7亿</w:t>
      </w:r>
      <w:r>
        <w:rPr>
          <w:rFonts w:ascii="Times New Roman" w:hAnsi="Times New Roman" w:eastAsia="方正仿宋简体" w:cs="方正仿宋简体"/>
          <w:b/>
          <w:bCs/>
          <w:color w:val="auto"/>
          <w:kern w:val="2"/>
          <w:sz w:val="32"/>
          <w:szCs w:val="32"/>
        </w:rPr>
        <w:t>元。</w:t>
      </w:r>
      <w:r>
        <w:rPr>
          <w:rFonts w:hint="eastAsia" w:ascii="Times New Roman" w:hAnsi="Times New Roman" w:eastAsia="方正仿宋简体" w:cs="方正仿宋简体"/>
          <w:b/>
          <w:bCs/>
          <w:color w:val="auto"/>
          <w:kern w:val="2"/>
          <w:sz w:val="32"/>
          <w:szCs w:val="32"/>
          <w:lang w:val="en-US" w:eastAsia="zh-CN"/>
        </w:rPr>
        <w:t>2024年度</w:t>
      </w:r>
      <w:r>
        <w:rPr>
          <w:rFonts w:hint="eastAsia" w:ascii="Times New Roman" w:hAnsi="Times New Roman" w:eastAsia="方正仿宋简体" w:cs="方正仿宋简体"/>
          <w:b/>
          <w:bCs/>
          <w:color w:val="auto"/>
          <w:kern w:val="2"/>
          <w:sz w:val="32"/>
          <w:szCs w:val="32"/>
        </w:rPr>
        <w:t>资产负债率</w:t>
      </w:r>
      <w:r>
        <w:rPr>
          <w:rFonts w:hint="eastAsia" w:ascii="Times New Roman" w:hAnsi="Times New Roman" w:eastAsia="方正仿宋简体" w:cs="方正仿宋简体"/>
          <w:b/>
          <w:bCs/>
          <w:color w:val="auto"/>
          <w:kern w:val="2"/>
          <w:sz w:val="32"/>
          <w:szCs w:val="32"/>
          <w:lang w:val="en-US" w:eastAsia="zh-CN"/>
        </w:rPr>
        <w:t>79.08%</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eastAsia="zh-CN"/>
        </w:rPr>
        <w:t>较上年同期</w:t>
      </w:r>
      <w:r>
        <w:rPr>
          <w:rFonts w:hint="eastAsia" w:ascii="Times New Roman" w:hAnsi="Times New Roman" w:eastAsia="方正仿宋简体" w:cs="方正仿宋简体"/>
          <w:b/>
          <w:bCs/>
          <w:color w:val="auto"/>
          <w:kern w:val="2"/>
          <w:sz w:val="32"/>
          <w:szCs w:val="32"/>
        </w:rPr>
        <w:t>的</w:t>
      </w:r>
      <w:r>
        <w:rPr>
          <w:rFonts w:hint="eastAsia" w:ascii="Times New Roman" w:hAnsi="Times New Roman" w:eastAsia="方正仿宋简体" w:cs="方正仿宋简体"/>
          <w:b/>
          <w:bCs/>
          <w:color w:val="auto"/>
          <w:kern w:val="2"/>
          <w:sz w:val="32"/>
          <w:szCs w:val="32"/>
          <w:lang w:val="en-US" w:eastAsia="zh-CN"/>
        </w:rPr>
        <w:t>81.9%减少</w:t>
      </w:r>
      <w:r>
        <w:rPr>
          <w:rFonts w:hint="eastAsia" w:ascii="Times New Roman" w:hAnsi="Times New Roman" w:eastAsia="方正仿宋简体" w:cs="方正仿宋简体"/>
          <w:b/>
          <w:bCs/>
          <w:color w:val="auto"/>
          <w:kern w:val="2"/>
          <w:sz w:val="32"/>
          <w:szCs w:val="32"/>
        </w:rPr>
        <w:t>了</w:t>
      </w:r>
      <w:r>
        <w:rPr>
          <w:rFonts w:hint="eastAsia" w:ascii="Times New Roman" w:hAnsi="Times New Roman" w:eastAsia="方正仿宋简体" w:cs="方正仿宋简体"/>
          <w:b/>
          <w:bCs/>
          <w:color w:val="auto"/>
          <w:kern w:val="2"/>
          <w:sz w:val="32"/>
          <w:szCs w:val="32"/>
          <w:lang w:val="en-US" w:eastAsia="zh-CN"/>
        </w:rPr>
        <w:t>2.82</w:t>
      </w:r>
      <w:r>
        <w:rPr>
          <w:rFonts w:hint="eastAsia" w:ascii="Times New Roman" w:hAnsi="Times New Roman" w:eastAsia="方正仿宋简体" w:cs="方正仿宋简体"/>
          <w:b/>
          <w:bCs/>
          <w:color w:val="auto"/>
          <w:kern w:val="2"/>
          <w:sz w:val="32"/>
          <w:szCs w:val="32"/>
        </w:rPr>
        <w:t>个百分点。</w:t>
      </w:r>
    </w:p>
    <w:p>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年度内发生的重大事项及对公司的影响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sz w:val="32"/>
          <w:szCs w:val="32"/>
          <w:lang w:val="en-US" w:eastAsia="zh-CN"/>
        </w:rPr>
        <w:t>未发生重大事项。</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19E5389"/>
    <w:rsid w:val="04551A6B"/>
    <w:rsid w:val="04C07E5F"/>
    <w:rsid w:val="09E518F1"/>
    <w:rsid w:val="12174B85"/>
    <w:rsid w:val="1279335C"/>
    <w:rsid w:val="12A119E0"/>
    <w:rsid w:val="13626B4C"/>
    <w:rsid w:val="148733F6"/>
    <w:rsid w:val="181E77F0"/>
    <w:rsid w:val="19560A59"/>
    <w:rsid w:val="195A3691"/>
    <w:rsid w:val="1C496371"/>
    <w:rsid w:val="1CB031AF"/>
    <w:rsid w:val="1F00492A"/>
    <w:rsid w:val="21785B44"/>
    <w:rsid w:val="227F1494"/>
    <w:rsid w:val="237D24D8"/>
    <w:rsid w:val="242F5117"/>
    <w:rsid w:val="243948BB"/>
    <w:rsid w:val="24805784"/>
    <w:rsid w:val="25486BE3"/>
    <w:rsid w:val="26A93DBD"/>
    <w:rsid w:val="27F03E2A"/>
    <w:rsid w:val="28E8704B"/>
    <w:rsid w:val="290C75C1"/>
    <w:rsid w:val="29D47C5C"/>
    <w:rsid w:val="2A174497"/>
    <w:rsid w:val="2A4822AF"/>
    <w:rsid w:val="2A691C72"/>
    <w:rsid w:val="2AA80EDF"/>
    <w:rsid w:val="2E8D617B"/>
    <w:rsid w:val="31505396"/>
    <w:rsid w:val="32777821"/>
    <w:rsid w:val="368948B1"/>
    <w:rsid w:val="39AE61CA"/>
    <w:rsid w:val="3A6C5261"/>
    <w:rsid w:val="3D927240"/>
    <w:rsid w:val="3DAC0150"/>
    <w:rsid w:val="3DB64D77"/>
    <w:rsid w:val="3E7762B4"/>
    <w:rsid w:val="419C0824"/>
    <w:rsid w:val="44244964"/>
    <w:rsid w:val="45AD6172"/>
    <w:rsid w:val="48286CA0"/>
    <w:rsid w:val="49A34571"/>
    <w:rsid w:val="4A2E2171"/>
    <w:rsid w:val="4B616B22"/>
    <w:rsid w:val="4BF9097F"/>
    <w:rsid w:val="4C891422"/>
    <w:rsid w:val="4E1C79A3"/>
    <w:rsid w:val="4FDE04E2"/>
    <w:rsid w:val="52DF6C8B"/>
    <w:rsid w:val="536B2CB8"/>
    <w:rsid w:val="5678193F"/>
    <w:rsid w:val="57404164"/>
    <w:rsid w:val="5AD277FB"/>
    <w:rsid w:val="5E145AF2"/>
    <w:rsid w:val="5F412942"/>
    <w:rsid w:val="5FA47421"/>
    <w:rsid w:val="602021FB"/>
    <w:rsid w:val="60785E58"/>
    <w:rsid w:val="642A1E25"/>
    <w:rsid w:val="66803D95"/>
    <w:rsid w:val="66EC3CFC"/>
    <w:rsid w:val="6A5519A2"/>
    <w:rsid w:val="6B28732C"/>
    <w:rsid w:val="6C305B70"/>
    <w:rsid w:val="6CD90D46"/>
    <w:rsid w:val="6CDE381E"/>
    <w:rsid w:val="6D8A03D6"/>
    <w:rsid w:val="6D8C75E7"/>
    <w:rsid w:val="6FDC4B98"/>
    <w:rsid w:val="718F0FF7"/>
    <w:rsid w:val="74D51C3A"/>
    <w:rsid w:val="74E02F04"/>
    <w:rsid w:val="75D26FF0"/>
    <w:rsid w:val="7A8C346B"/>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21"/>
    <w:basedOn w:val="6"/>
    <w:qFormat/>
    <w:uiPriority w:val="0"/>
    <w:rPr>
      <w:rFonts w:hint="default" w:ascii="Times New Roman" w:hAnsi="Times New Roman" w:cs="Times New Roman"/>
      <w:color w:val="000000"/>
      <w:sz w:val="22"/>
      <w:szCs w:val="22"/>
      <w:u w:val="none"/>
    </w:rPr>
  </w:style>
  <w:style w:type="character" w:customStyle="1" w:styleId="12">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1089</Words>
  <Characters>1326</Characters>
  <Lines>11</Lines>
  <Paragraphs>3</Paragraphs>
  <TotalTime>256</TotalTime>
  <ScaleCrop>false</ScaleCrop>
  <LinksUpToDate>false</LinksUpToDate>
  <CharactersWithSpaces>1346</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2025-06-30T08:32:50Z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13314D0EABFC4B74ADFB40D24777FC05_13</vt:lpwstr>
  </property>
  <property fmtid="{D5CDD505-2E9C-101B-9397-08002B2CF9AE}" pid="4" name="commondata">
    <vt:lpwstr>eyJoZGlkIjoiMzIxYmMwMDJkYjZiMmFlYzdhY2YzYTliOWFhN2UxMzIifQ==</vt:lpwstr>
  </property>
  <property fmtid="{D5CDD505-2E9C-101B-9397-08002B2CF9AE}" pid="5" name="KSOTemplateDocerSaveRecord">
    <vt:lpwstr>eyJoZGlkIjoiMDIzYTI1YjJlMWM4NDc2MWE4ZWJhZmI4MzU3MzZhNDIiLCJ1c2VySWQiOiI0MDM2MDQ2NDIifQ==</vt:lpwstr>
  </property>
</Properties>
</file>