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济宁公用新能源供热有限公司</w:t>
      </w:r>
    </w:p>
    <w:p>
      <w:pPr>
        <w:pStyle w:val="3"/>
        <w:spacing w:line="700" w:lineRule="exact"/>
        <w:jc w:val="center"/>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lang w:val="en-US"/>
        </w:rPr>
        <w:t>年度财务等重大信息公开</w:t>
      </w:r>
    </w:p>
    <w:p>
      <w:pPr>
        <w:pStyle w:val="3"/>
        <w:spacing w:line="700" w:lineRule="exact"/>
        <w:jc w:val="center"/>
        <w:rPr>
          <w:rFonts w:hint="default" w:ascii="Times New Roman" w:hAnsi="Times New Roman" w:eastAsia="方正小标宋简体" w:cs="Times New Roman"/>
          <w:b/>
          <w:bCs/>
          <w:sz w:val="44"/>
          <w:szCs w:val="44"/>
          <w:lang w:val="en-US"/>
        </w:rPr>
      </w:pPr>
    </w:p>
    <w:p>
      <w:pPr>
        <w:pStyle w:val="3"/>
        <w:keepNext w:val="0"/>
        <w:keepLines w:val="0"/>
        <w:pageBreakBefore w:val="0"/>
        <w:widowControl/>
        <w:numPr>
          <w:ilvl w:val="0"/>
          <w:numId w:val="1"/>
        </w:numPr>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公司基本情况</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1.名    称：济宁公用新能源供热有限公司</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2.企业类型：国有控股</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3.成立日期：2017年6月28日</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4.法定代表人：朱军</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5.注册地址：汶上县寅寺镇S333省道汶上西收费站西300米路南。</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6.经营范围：新能源研发利用；集中供暖；热力工程设计、咨询及设备销售；合同能源管理。（依法须批准的项目，经相关部门批准后方可开展经营活动）</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bCs/>
          <w:sz w:val="32"/>
          <w:szCs w:val="32"/>
        </w:rPr>
        <w:t>2020</w:t>
      </w:r>
      <w:r>
        <w:rPr>
          <w:rFonts w:hint="default" w:ascii="Times New Roman" w:hAnsi="Times New Roman" w:eastAsia="方正仿宋简体" w:cs="Times New Roman"/>
          <w:b/>
          <w:sz w:val="32"/>
          <w:szCs w:val="32"/>
        </w:rPr>
        <w:t>年</w:t>
      </w:r>
      <w:r>
        <w:rPr>
          <w:rFonts w:hint="default" w:ascii="Times New Roman" w:hAnsi="Times New Roman" w:eastAsia="方正仿宋简体" w:cs="Times New Roman"/>
          <w:b/>
          <w:bCs/>
          <w:sz w:val="32"/>
          <w:szCs w:val="32"/>
        </w:rPr>
        <w:t>5</w:t>
      </w:r>
      <w:r>
        <w:rPr>
          <w:rFonts w:hint="default" w:ascii="Times New Roman" w:hAnsi="Times New Roman" w:eastAsia="方正仿宋简体" w:cs="Times New Roman"/>
          <w:b/>
          <w:sz w:val="32"/>
          <w:szCs w:val="32"/>
        </w:rPr>
        <w:t>月</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w:t>
      </w:r>
      <w:r>
        <w:rPr>
          <w:rFonts w:hint="eastAsia" w:ascii="Times New Roman" w:hAnsi="Times New Roman" w:eastAsia="方正仿宋简体" w:cs="Times New Roman"/>
          <w:b/>
          <w:sz w:val="32"/>
          <w:szCs w:val="32"/>
          <w:lang w:eastAsia="zh-CN"/>
        </w:rPr>
        <w:t>授予</w:t>
      </w:r>
      <w:r>
        <w:rPr>
          <w:rFonts w:hint="default" w:ascii="Times New Roman" w:hAnsi="Times New Roman" w:eastAsia="方正仿宋简体" w:cs="Times New Roman"/>
          <w:b/>
          <w:sz w:val="32"/>
          <w:szCs w:val="32"/>
        </w:rPr>
        <w:t>汶上县集中供热特许经营权。</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公司注册资本</w:t>
      </w:r>
      <w:r>
        <w:rPr>
          <w:rFonts w:hint="default" w:ascii="Times New Roman" w:hAnsi="Times New Roman" w:eastAsia="方正仿宋简体" w:cs="Times New Roman"/>
          <w:b/>
          <w:bCs/>
          <w:sz w:val="32"/>
          <w:szCs w:val="32"/>
        </w:rPr>
        <w:t>8000</w:t>
      </w:r>
      <w:r>
        <w:rPr>
          <w:rFonts w:hint="default" w:ascii="Times New Roman" w:hAnsi="Times New Roman" w:eastAsia="方正仿宋简体" w:cs="Times New Roman"/>
          <w:b/>
          <w:sz w:val="32"/>
          <w:szCs w:val="32"/>
        </w:rPr>
        <w:t>万元。承担着汶上县</w:t>
      </w:r>
      <w:r>
        <w:rPr>
          <w:rFonts w:hint="default" w:ascii="Times New Roman" w:hAnsi="Times New Roman" w:eastAsia="方正仿宋简体" w:cs="Times New Roman"/>
          <w:b/>
          <w:bCs/>
          <w:sz w:val="32"/>
          <w:szCs w:val="32"/>
        </w:rPr>
        <w:t>1200</w:t>
      </w:r>
      <w:r>
        <w:rPr>
          <w:rFonts w:hint="default" w:ascii="Times New Roman" w:hAnsi="Times New Roman" w:eastAsia="方正仿宋简体" w:cs="Times New Roman"/>
          <w:b/>
          <w:sz w:val="32"/>
          <w:szCs w:val="32"/>
        </w:rPr>
        <w:t>万平方米的供热规划。根据公司发展规划，建设阳城电厂到汶上城区集中供热项目资产</w:t>
      </w:r>
      <w:r>
        <w:rPr>
          <w:rFonts w:hint="default" w:ascii="Times New Roman" w:hAnsi="Times New Roman" w:eastAsia="方正仿宋简体" w:cs="Times New Roman"/>
          <w:b/>
          <w:bCs/>
          <w:sz w:val="32"/>
          <w:szCs w:val="32"/>
        </w:rPr>
        <w:t>2.5</w:t>
      </w:r>
      <w:r>
        <w:rPr>
          <w:rFonts w:hint="default" w:ascii="Times New Roman" w:hAnsi="Times New Roman" w:eastAsia="方正仿宋简体" w:cs="Times New Roman"/>
          <w:b/>
          <w:sz w:val="32"/>
          <w:szCs w:val="32"/>
        </w:rPr>
        <w:t>亿元，建设的</w:t>
      </w:r>
      <w:r>
        <w:rPr>
          <w:rFonts w:hint="default" w:ascii="Times New Roman" w:hAnsi="Times New Roman" w:eastAsia="方正仿宋简体" w:cs="Times New Roman"/>
          <w:b/>
          <w:bCs/>
          <w:sz w:val="32"/>
          <w:szCs w:val="32"/>
        </w:rPr>
        <w:t>DN1020</w:t>
      </w:r>
      <w:r>
        <w:rPr>
          <w:rFonts w:hint="default" w:ascii="Times New Roman" w:hAnsi="Times New Roman" w:eastAsia="方正仿宋简体" w:cs="Times New Roman"/>
          <w:b/>
          <w:sz w:val="32"/>
          <w:szCs w:val="32"/>
        </w:rPr>
        <w:t>高温水管网单向</w:t>
      </w:r>
      <w:r>
        <w:rPr>
          <w:rFonts w:hint="default" w:ascii="Times New Roman" w:hAnsi="Times New Roman" w:eastAsia="方正仿宋简体" w:cs="Times New Roman"/>
          <w:b/>
          <w:bCs/>
          <w:sz w:val="32"/>
          <w:szCs w:val="32"/>
        </w:rPr>
        <w:t>26</w:t>
      </w:r>
      <w:r>
        <w:rPr>
          <w:rFonts w:hint="default" w:ascii="Times New Roman" w:hAnsi="Times New Roman" w:eastAsia="方正仿宋简体" w:cs="Times New Roman"/>
          <w:b/>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default" w:ascii="Times New Roman" w:hAnsi="Times New Roman" w:eastAsia="方正仿宋简体" w:cs="Times New Roman"/>
          <w:b/>
          <w:bCs/>
          <w:sz w:val="32"/>
          <w:szCs w:val="32"/>
        </w:rPr>
        <w:t>10</w:t>
      </w:r>
      <w:r>
        <w:rPr>
          <w:rFonts w:hint="default" w:ascii="Times New Roman" w:hAnsi="Times New Roman" w:eastAsia="方正仿宋简体" w:cs="Times New Roman"/>
          <w:b/>
          <w:sz w:val="32"/>
          <w:szCs w:val="32"/>
        </w:rPr>
        <w:t>万吨使用量，分别减少二氧化碳排放量</w:t>
      </w:r>
      <w:r>
        <w:rPr>
          <w:rFonts w:hint="default" w:ascii="Times New Roman" w:hAnsi="Times New Roman" w:eastAsia="方正仿宋简体" w:cs="Times New Roman"/>
          <w:b/>
          <w:bCs/>
          <w:sz w:val="32"/>
          <w:szCs w:val="32"/>
        </w:rPr>
        <w:t>26．6</w:t>
      </w:r>
      <w:r>
        <w:rPr>
          <w:rFonts w:hint="default" w:ascii="Times New Roman" w:hAnsi="Times New Roman" w:eastAsia="方正仿宋简体" w:cs="Times New Roman"/>
          <w:b/>
          <w:sz w:val="32"/>
          <w:szCs w:val="32"/>
        </w:rPr>
        <w:t>万吨、二氧化硫</w:t>
      </w:r>
      <w:r>
        <w:rPr>
          <w:rFonts w:hint="default" w:ascii="Times New Roman" w:hAnsi="Times New Roman" w:eastAsia="方正仿宋简体" w:cs="Times New Roman"/>
          <w:b/>
          <w:bCs/>
          <w:sz w:val="32"/>
          <w:szCs w:val="32"/>
        </w:rPr>
        <w:t>850</w:t>
      </w:r>
      <w:r>
        <w:rPr>
          <w:rFonts w:hint="default" w:ascii="Times New Roman" w:hAnsi="Times New Roman" w:eastAsia="方正仿宋简体" w:cs="Times New Roman"/>
          <w:b/>
          <w:sz w:val="32"/>
          <w:szCs w:val="32"/>
        </w:rPr>
        <w:t>吨、氮氧化物</w:t>
      </w:r>
      <w:r>
        <w:rPr>
          <w:rFonts w:hint="default" w:ascii="Times New Roman" w:hAnsi="Times New Roman" w:eastAsia="方正仿宋简体" w:cs="Times New Roman"/>
          <w:b/>
          <w:bCs/>
          <w:sz w:val="32"/>
          <w:szCs w:val="32"/>
        </w:rPr>
        <w:t>740</w:t>
      </w:r>
      <w:r>
        <w:rPr>
          <w:rFonts w:hint="default" w:ascii="Times New Roman" w:hAnsi="Times New Roman" w:eastAsia="方正仿宋简体" w:cs="Times New Roman"/>
          <w:b/>
          <w:sz w:val="32"/>
          <w:szCs w:val="32"/>
        </w:rPr>
        <w:t>吨，大大缓解了大气污染防治压力。</w:t>
      </w:r>
    </w:p>
    <w:p>
      <w:pPr>
        <w:pStyle w:val="3"/>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二、主要会计数据和财务指标</w:t>
      </w:r>
    </w:p>
    <w:p>
      <w:pPr>
        <w:pStyle w:val="3"/>
        <w:spacing w:line="58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202</w:t>
      </w:r>
      <w:r>
        <w:rPr>
          <w:rFonts w:hint="default" w:ascii="Times New Roman" w:hAnsi="Times New Roman" w:eastAsia="方正黑体简体" w:cs="Times New Roman"/>
          <w:b/>
          <w:bCs/>
          <w:lang w:val="en-US" w:eastAsia="zh-CN"/>
        </w:rPr>
        <w:t>4</w:t>
      </w:r>
      <w:r>
        <w:rPr>
          <w:rFonts w:hint="default" w:ascii="Times New Roman" w:hAnsi="Times New Roman" w:eastAsia="方正黑体简体" w:cs="Times New Roman"/>
          <w:b/>
          <w:bCs/>
          <w:lang w:val="en-US"/>
        </w:rPr>
        <w:t>年度主要财务数据</w:t>
      </w:r>
    </w:p>
    <w:p>
      <w:pPr>
        <w:pStyle w:val="3"/>
        <w:spacing w:line="600" w:lineRule="exact"/>
        <w:ind w:firstLine="6023" w:firstLineChars="2000"/>
        <w:jc w:val="both"/>
        <w:rPr>
          <w:rFonts w:hint="default" w:ascii="Times New Roman" w:hAnsi="Times New Roman" w:eastAsia="方正楷体简体" w:cs="Times New Roman"/>
          <w:b/>
          <w:bCs/>
          <w:sz w:val="30"/>
          <w:szCs w:val="30"/>
          <w:lang w:val="en-US"/>
        </w:rPr>
      </w:pPr>
      <w:r>
        <w:rPr>
          <w:rFonts w:hint="default" w:ascii="Times New Roman" w:hAnsi="Times New Roman" w:eastAsia="方正楷体简体" w:cs="Times New Roman"/>
          <w:b/>
          <w:bCs/>
          <w:sz w:val="30"/>
          <w:szCs w:val="30"/>
          <w:lang w:val="en-US"/>
        </w:rPr>
        <w:t>单位：人民币万元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8"/>
        <w:gridCol w:w="4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448"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项  目</w:t>
            </w:r>
          </w:p>
        </w:tc>
        <w:tc>
          <w:tcPr>
            <w:tcW w:w="4141"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448"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营业总收入</w:t>
            </w:r>
          </w:p>
        </w:tc>
        <w:tc>
          <w:tcPr>
            <w:tcW w:w="4141"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15706.90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448"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营业总成本</w:t>
            </w:r>
          </w:p>
        </w:tc>
        <w:tc>
          <w:tcPr>
            <w:tcW w:w="4141"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15824.66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448"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利润总额</w:t>
            </w:r>
          </w:p>
        </w:tc>
        <w:tc>
          <w:tcPr>
            <w:tcW w:w="4141"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229.75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448" w:type="dxa"/>
          </w:tcPr>
          <w:p>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净利润</w:t>
            </w:r>
          </w:p>
        </w:tc>
        <w:tc>
          <w:tcPr>
            <w:tcW w:w="4141"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172.51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448" w:type="dxa"/>
          </w:tcPr>
          <w:p>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color w:val="000000"/>
                <w:lang w:val="en-US" w:bidi="ar-SA"/>
              </w:rPr>
              <w:t>资产总额</w:t>
            </w:r>
          </w:p>
        </w:tc>
        <w:tc>
          <w:tcPr>
            <w:tcW w:w="4141" w:type="dxa"/>
          </w:tcPr>
          <w:p>
            <w:pPr>
              <w:pStyle w:val="3"/>
              <w:spacing w:line="600" w:lineRule="exact"/>
              <w:jc w:val="center"/>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24896.98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448" w:type="dxa"/>
          </w:tcPr>
          <w:p>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负债总额</w:t>
            </w:r>
          </w:p>
        </w:tc>
        <w:tc>
          <w:tcPr>
            <w:tcW w:w="4141" w:type="dxa"/>
          </w:tcPr>
          <w:p>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default" w:ascii="Times New Roman" w:hAnsi="Times New Roman" w:eastAsia="方正仿宋简体" w:cs="Times New Roman"/>
                <w:b/>
                <w:bCs/>
                <w:color w:val="000000"/>
                <w:lang w:val="en-US" w:eastAsia="zh-CN" w:bidi="ar-SA"/>
              </w:rPr>
              <w:t>14361.41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448" w:type="dxa"/>
          </w:tcPr>
          <w:p>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所有者权益</w:t>
            </w:r>
          </w:p>
        </w:tc>
        <w:tc>
          <w:tcPr>
            <w:tcW w:w="4141" w:type="dxa"/>
          </w:tcPr>
          <w:p>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default" w:ascii="Times New Roman" w:hAnsi="Times New Roman" w:eastAsia="方正仿宋简体" w:cs="Times New Roman"/>
                <w:b/>
                <w:bCs/>
                <w:color w:val="000000"/>
                <w:lang w:val="en-US" w:eastAsia="zh-CN" w:bidi="ar-SA"/>
              </w:rPr>
              <w:t>10535.57</w:t>
            </w:r>
          </w:p>
        </w:tc>
      </w:tr>
    </w:tbl>
    <w:p>
      <w:pPr>
        <w:spacing w:line="200" w:lineRule="exact"/>
        <w:ind w:left="641"/>
        <w:rPr>
          <w:rFonts w:hint="default" w:ascii="Times New Roman" w:hAnsi="Times New Roman" w:eastAsia="方正黑体简体" w:cs="Times New Roman"/>
          <w:b/>
          <w:sz w:val="32"/>
          <w:szCs w:val="32"/>
          <w:lang w:val="en-US"/>
        </w:rPr>
      </w:pP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三、</w:t>
      </w:r>
      <w:r>
        <w:rPr>
          <w:rFonts w:hint="default" w:ascii="Times New Roman" w:hAnsi="Times New Roman" w:eastAsia="方正黑体简体" w:cs="Times New Roman"/>
          <w:b/>
          <w:sz w:val="32"/>
          <w:szCs w:val="32"/>
        </w:rPr>
        <w:t>财务预算执行情况</w:t>
      </w:r>
      <w:r>
        <w:rPr>
          <w:rFonts w:hint="default" w:ascii="Times New Roman" w:hAnsi="Times New Roman" w:eastAsia="方正黑体简体" w:cs="Times New Roman"/>
          <w:b/>
          <w:sz w:val="32"/>
          <w:szCs w:val="32"/>
          <w:lang w:val="en-US"/>
        </w:rPr>
        <w:t xml:space="preserve">   </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预算营业总收入</w:t>
      </w:r>
      <w:r>
        <w:rPr>
          <w:rFonts w:hint="default" w:ascii="Times New Roman" w:hAnsi="Times New Roman" w:eastAsia="方正仿宋简体" w:cs="Times New Roman"/>
          <w:b/>
          <w:bCs/>
          <w:color w:val="000000"/>
          <w:sz w:val="32"/>
          <w:szCs w:val="32"/>
          <w:lang w:val="en-US" w:eastAsia="zh-CN" w:bidi="ar-SA"/>
        </w:rPr>
        <w:t>14868.07</w:t>
      </w:r>
      <w:r>
        <w:rPr>
          <w:rFonts w:hint="default" w:ascii="Times New Roman" w:hAnsi="Times New Roman" w:eastAsia="方正仿宋简体" w:cs="Times New Roman"/>
          <w:b/>
          <w:bCs/>
          <w:color w:val="000000"/>
          <w:sz w:val="32"/>
          <w:szCs w:val="32"/>
          <w:lang w:val="en-US" w:bidi="ar-SA"/>
        </w:rPr>
        <w:t>万元，实际完成率</w:t>
      </w:r>
      <w:r>
        <w:rPr>
          <w:rFonts w:hint="default" w:ascii="Times New Roman" w:hAnsi="Times New Roman" w:eastAsia="方正仿宋简体" w:cs="Times New Roman"/>
          <w:b/>
          <w:bCs/>
          <w:color w:val="000000"/>
          <w:sz w:val="32"/>
          <w:szCs w:val="32"/>
          <w:lang w:val="en-US" w:eastAsia="zh-CN" w:bidi="ar-SA"/>
        </w:rPr>
        <w:t>105.64</w:t>
      </w:r>
      <w:r>
        <w:rPr>
          <w:rFonts w:hint="default" w:ascii="Times New Roman" w:hAnsi="Times New Roman" w:eastAsia="方正仿宋简体" w:cs="Times New Roman"/>
          <w:b/>
          <w:bCs/>
          <w:color w:val="000000"/>
          <w:sz w:val="32"/>
          <w:szCs w:val="32"/>
          <w:lang w:val="en-US" w:bidi="ar-SA"/>
        </w:rPr>
        <w:t>%；预算利润总额</w:t>
      </w:r>
      <w:r>
        <w:rPr>
          <w:rFonts w:hint="default" w:ascii="Times New Roman" w:hAnsi="Times New Roman" w:eastAsia="方正仿宋简体" w:cs="Times New Roman"/>
          <w:b/>
          <w:bCs/>
          <w:color w:val="000000"/>
          <w:sz w:val="32"/>
          <w:szCs w:val="32"/>
          <w:lang w:val="en-US" w:eastAsia="zh-CN" w:bidi="ar-SA"/>
        </w:rPr>
        <w:t>1246.52</w:t>
      </w:r>
      <w:r>
        <w:rPr>
          <w:rFonts w:hint="default" w:ascii="Times New Roman" w:hAnsi="Times New Roman" w:eastAsia="方正仿宋简体" w:cs="Times New Roman"/>
          <w:b/>
          <w:bCs/>
          <w:color w:val="000000"/>
          <w:sz w:val="32"/>
          <w:szCs w:val="32"/>
          <w:lang w:val="en-US" w:bidi="ar-SA"/>
        </w:rPr>
        <w:t>万元，实际完成率</w:t>
      </w:r>
      <w:r>
        <w:rPr>
          <w:rFonts w:hint="default" w:ascii="Times New Roman" w:hAnsi="Times New Roman" w:eastAsia="方正仿宋简体" w:cs="Times New Roman"/>
          <w:b/>
          <w:bCs/>
          <w:color w:val="000000"/>
          <w:sz w:val="32"/>
          <w:szCs w:val="32"/>
          <w:lang w:val="en-US" w:eastAsia="zh-CN" w:bidi="ar-SA"/>
        </w:rPr>
        <w:t>18.43</w:t>
      </w:r>
      <w:r>
        <w:rPr>
          <w:rFonts w:hint="default" w:ascii="Times New Roman" w:hAnsi="Times New Roman" w:eastAsia="方正仿宋简体" w:cs="Times New Roman"/>
          <w:b/>
          <w:bCs/>
          <w:color w:val="000000"/>
          <w:sz w:val="32"/>
          <w:szCs w:val="32"/>
          <w:lang w:val="en-US" w:bidi="ar-SA"/>
        </w:rPr>
        <w:t>%。</w:t>
      </w:r>
    </w:p>
    <w:p>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sz w:val="32"/>
          <w:szCs w:val="32"/>
          <w:lang w:val="en-US"/>
        </w:rPr>
      </w:pPr>
      <w:r>
        <w:rPr>
          <w:rFonts w:hint="default" w:ascii="Times New Roman" w:hAnsi="Times New Roman" w:eastAsia="方正黑体简体" w:cs="Times New Roman"/>
          <w:b/>
          <w:sz w:val="32"/>
          <w:szCs w:val="32"/>
          <w:lang w:val="en-US"/>
        </w:rPr>
        <w:t>四、</w:t>
      </w:r>
      <w:r>
        <w:rPr>
          <w:rFonts w:hint="eastAsia" w:ascii="Times New Roman" w:hAnsi="Times New Roman" w:eastAsia="方正黑体简体" w:cs="Times New Roman"/>
          <w:b/>
          <w:sz w:val="32"/>
          <w:szCs w:val="32"/>
          <w:lang w:val="en-US" w:eastAsia="zh-CN"/>
        </w:rPr>
        <w:t>年度</w:t>
      </w:r>
      <w:r>
        <w:rPr>
          <w:rFonts w:hint="default" w:ascii="Times New Roman" w:hAnsi="Times New Roman" w:eastAsia="方正黑体简体" w:cs="Times New Roman"/>
          <w:b/>
          <w:sz w:val="32"/>
          <w:szCs w:val="32"/>
          <w:lang w:val="en-US"/>
        </w:rPr>
        <w:t>内重大事项及对企业的影响</w:t>
      </w:r>
    </w:p>
    <w:p>
      <w:pPr>
        <w:keepNext w:val="0"/>
        <w:keepLines w:val="0"/>
        <w:pageBreakBefore w:val="0"/>
        <w:widowControl/>
        <w:kinsoku/>
        <w:wordWrap/>
        <w:overflowPunct w:val="0"/>
        <w:topLinePunct/>
        <w:autoSpaceDE/>
        <w:autoSpaceDN/>
        <w:bidi w:val="0"/>
        <w:adjustRightInd/>
        <w:snapToGrid/>
        <w:spacing w:line="600" w:lineRule="exact"/>
        <w:ind w:firstLine="640" w:firstLineChars="200"/>
        <w:jc w:val="both"/>
        <w:textAlignment w:val="auto"/>
        <w:rPr>
          <w:rFonts w:hint="default" w:ascii="Times New Roman" w:hAnsi="Times New Roman" w:eastAsia="方正黑体简体" w:cs="Times New Roman"/>
          <w:sz w:val="32"/>
          <w:szCs w:val="32"/>
          <w:highlight w:val="none"/>
          <w:lang w:val="en-US"/>
        </w:rPr>
      </w:pPr>
      <w:r>
        <w:rPr>
          <w:rFonts w:hint="default" w:ascii="Times New Roman" w:hAnsi="Times New Roman" w:eastAsia="方正黑体简体" w:cs="Times New Roman"/>
          <w:sz w:val="32"/>
          <w:szCs w:val="32"/>
          <w:highlight w:val="none"/>
          <w:lang w:val="en-US"/>
        </w:rPr>
        <w:t>无</w:t>
      </w:r>
    </w:p>
    <w:p>
      <w:pPr>
        <w:keepNext w:val="0"/>
        <w:keepLines w:val="0"/>
        <w:pageBreakBefore w:val="0"/>
        <w:widowControl/>
        <w:kinsoku/>
        <w:wordWrap/>
        <w:overflowPunct w:val="0"/>
        <w:topLinePunct/>
        <w:autoSpaceDE/>
        <w:autoSpaceDN/>
        <w:bidi w:val="0"/>
        <w:adjustRightInd/>
        <w:snapToGrid/>
        <w:spacing w:line="600" w:lineRule="exact"/>
        <w:ind w:firstLine="440" w:firstLineChars="200"/>
        <w:jc w:val="both"/>
        <w:textAlignment w:val="auto"/>
        <w:rPr>
          <w:rFonts w:hint="default" w:ascii="Times New Roman" w:hAnsi="Times New Roman" w:cs="Times New Roman"/>
          <w:highlight w:val="yellow"/>
          <w:lang w:val="en-US"/>
        </w:rPr>
      </w:pPr>
    </w:p>
    <w:p>
      <w:pPr>
        <w:ind w:firstLine="4498" w:firstLineChars="1400"/>
        <w:jc w:val="both"/>
        <w:rPr>
          <w:rFonts w:hint="default" w:ascii="Times New Roman" w:hAnsi="Times New Roman" w:eastAsia="方正仿宋简体" w:cs="Times New Roman"/>
          <w:b/>
          <w:bCs/>
          <w:sz w:val="32"/>
          <w:szCs w:val="32"/>
          <w:lang w:val="en-US"/>
        </w:rPr>
      </w:pPr>
    </w:p>
    <w:p>
      <w:pPr>
        <w:widowControl/>
        <w:autoSpaceDE/>
        <w:autoSpaceDN/>
        <w:jc w:val="center"/>
        <w:rPr>
          <w:rFonts w:hint="default" w:ascii="Times New Roman" w:hAnsi="Times New Roman" w:eastAsia="方正仿宋简体" w:cs="Times New Roman"/>
          <w:b/>
          <w:bCs/>
          <w:sz w:val="32"/>
          <w:szCs w:val="32"/>
          <w:lang w:val="en-US"/>
        </w:rPr>
      </w:pPr>
      <w:bookmarkStart w:id="0" w:name="_GoBack"/>
      <w:bookmarkEnd w:id="0"/>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1" w:fontKey="{17F8F62E-0B35-4AFC-8EC5-4785307EA3BA}"/>
  </w:font>
  <w:font w:name="方正黑体简体">
    <w:panose1 w:val="02000000000000000000"/>
    <w:charset w:val="86"/>
    <w:family w:val="script"/>
    <w:pitch w:val="default"/>
    <w:sig w:usb0="A00002BF" w:usb1="184F6CFA" w:usb2="00000012" w:usb3="00000000" w:csb0="00040001" w:csb1="00000000"/>
    <w:embedRegular r:id="rId2" w:fontKey="{D777DE16-73B8-44EC-88DB-583C8A163922}"/>
  </w:font>
  <w:font w:name="方正楷体简体">
    <w:panose1 w:val="02000000000000000000"/>
    <w:charset w:val="86"/>
    <w:family w:val="auto"/>
    <w:pitch w:val="default"/>
    <w:sig w:usb0="A00002BF" w:usb1="184F6CFA" w:usb2="00000012" w:usb3="00000000" w:csb0="00040001" w:csb1="00000000"/>
    <w:embedRegular r:id="rId3" w:fontKey="{929D79A6-1F6D-4FB7-AC0B-C41C31C47410}"/>
  </w:font>
  <w:font w:name="方正仿宋简体">
    <w:panose1 w:val="02000000000000000000"/>
    <w:charset w:val="86"/>
    <w:family w:val="auto"/>
    <w:pitch w:val="default"/>
    <w:sig w:usb0="A00002BF" w:usb1="184F6CFA" w:usb2="00000012" w:usb3="00000000" w:csb0="00040001" w:csb1="00000000"/>
    <w:embedRegular r:id="rId4" w:fontKey="{4B8E169F-E041-4DB2-8BE7-6A2DCD70EC2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Y5YTEzNGRlNTM5MDMwYmFlMWM1YjFmMDE3YTIifQ=="/>
  </w:docVars>
  <w:rsids>
    <w:rsidRoot w:val="00AB01EA"/>
    <w:rsid w:val="00015A87"/>
    <w:rsid w:val="000168AA"/>
    <w:rsid w:val="000A0544"/>
    <w:rsid w:val="000D614C"/>
    <w:rsid w:val="00151E71"/>
    <w:rsid w:val="00161A8E"/>
    <w:rsid w:val="00197449"/>
    <w:rsid w:val="002135C1"/>
    <w:rsid w:val="00271CDE"/>
    <w:rsid w:val="00300466"/>
    <w:rsid w:val="003152D1"/>
    <w:rsid w:val="00333F66"/>
    <w:rsid w:val="003510F1"/>
    <w:rsid w:val="00384B44"/>
    <w:rsid w:val="003F5C9D"/>
    <w:rsid w:val="004055A1"/>
    <w:rsid w:val="00474979"/>
    <w:rsid w:val="00480385"/>
    <w:rsid w:val="004A6CE9"/>
    <w:rsid w:val="004A7F1A"/>
    <w:rsid w:val="004D1F6D"/>
    <w:rsid w:val="0050064C"/>
    <w:rsid w:val="005571EB"/>
    <w:rsid w:val="005600CB"/>
    <w:rsid w:val="00596856"/>
    <w:rsid w:val="005A15E0"/>
    <w:rsid w:val="006448B5"/>
    <w:rsid w:val="00667382"/>
    <w:rsid w:val="006928AD"/>
    <w:rsid w:val="00693743"/>
    <w:rsid w:val="006B7A98"/>
    <w:rsid w:val="00702DC4"/>
    <w:rsid w:val="00710A95"/>
    <w:rsid w:val="007209DF"/>
    <w:rsid w:val="007721AE"/>
    <w:rsid w:val="007A0DD0"/>
    <w:rsid w:val="007A5A03"/>
    <w:rsid w:val="007A7033"/>
    <w:rsid w:val="007B52EB"/>
    <w:rsid w:val="007E6DD0"/>
    <w:rsid w:val="008001A9"/>
    <w:rsid w:val="00806BE9"/>
    <w:rsid w:val="0084329B"/>
    <w:rsid w:val="00852ACA"/>
    <w:rsid w:val="00857248"/>
    <w:rsid w:val="00896A92"/>
    <w:rsid w:val="008A74B2"/>
    <w:rsid w:val="008D33C1"/>
    <w:rsid w:val="008F345A"/>
    <w:rsid w:val="0091505B"/>
    <w:rsid w:val="00955EFF"/>
    <w:rsid w:val="009C4B22"/>
    <w:rsid w:val="00A24713"/>
    <w:rsid w:val="00A26E02"/>
    <w:rsid w:val="00A563A7"/>
    <w:rsid w:val="00AA1626"/>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823A7"/>
    <w:rsid w:val="00DD5062"/>
    <w:rsid w:val="00DE29BB"/>
    <w:rsid w:val="00DF0220"/>
    <w:rsid w:val="00E05E9E"/>
    <w:rsid w:val="00E82D5D"/>
    <w:rsid w:val="00E910E1"/>
    <w:rsid w:val="00E97D11"/>
    <w:rsid w:val="00EA367A"/>
    <w:rsid w:val="00EF29D3"/>
    <w:rsid w:val="00F21D3D"/>
    <w:rsid w:val="00F44739"/>
    <w:rsid w:val="00F50061"/>
    <w:rsid w:val="00F75FEA"/>
    <w:rsid w:val="09280895"/>
    <w:rsid w:val="09BA2F48"/>
    <w:rsid w:val="0C1300BA"/>
    <w:rsid w:val="0CA61F6B"/>
    <w:rsid w:val="11D529E3"/>
    <w:rsid w:val="13C87509"/>
    <w:rsid w:val="17303DFB"/>
    <w:rsid w:val="208262A6"/>
    <w:rsid w:val="2E9539DE"/>
    <w:rsid w:val="32DA0AFB"/>
    <w:rsid w:val="359C4116"/>
    <w:rsid w:val="365668DF"/>
    <w:rsid w:val="3ADE08F5"/>
    <w:rsid w:val="3EB218E1"/>
    <w:rsid w:val="40BD03D8"/>
    <w:rsid w:val="46625A9C"/>
    <w:rsid w:val="4D663EEA"/>
    <w:rsid w:val="546563BA"/>
    <w:rsid w:val="5A991F08"/>
    <w:rsid w:val="5D195C77"/>
    <w:rsid w:val="5E5E5DDC"/>
    <w:rsid w:val="62805C42"/>
    <w:rsid w:val="67C52FC9"/>
    <w:rsid w:val="6D316FBD"/>
    <w:rsid w:val="6EDD4B2F"/>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Char"/>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Char"/>
    <w:basedOn w:val="8"/>
    <w:link w:val="5"/>
    <w:qFormat/>
    <w:uiPriority w:val="99"/>
    <w:rPr>
      <w:rFonts w:ascii="宋体" w:hAnsi="宋体" w:cs="宋体"/>
      <w:sz w:val="18"/>
      <w:szCs w:val="18"/>
      <w:lang w:val="zh-CN" w:bidi="zh-CN"/>
    </w:rPr>
  </w:style>
  <w:style w:type="character" w:customStyle="1" w:styleId="13">
    <w:name w:val="页脚 Char"/>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704</Words>
  <Characters>817</Characters>
  <Lines>6</Lines>
  <Paragraphs>1</Paragraphs>
  <TotalTime>49</TotalTime>
  <ScaleCrop>false</ScaleCrop>
  <LinksUpToDate>false</LinksUpToDate>
  <CharactersWithSpaces>826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2024-10-23T06:32:00Z</dcterms:created>
  <dc:creator>lenovo</dc:creator>
  <cp:lastModifiedBy>张娜</cp:lastModifiedBy>
  <cp:lastPrinted>2022-08-29T09:18:00Z</cp:lastPrinted>
  <dcterms:modified xsi:type="dcterms:W3CDTF">2025-06-30T07:10:17Z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y fmtid="{D5CDD505-2E9C-101B-9397-08002B2CF9AE}" pid="4" name="KSOTemplateDocerSaveRecord">
    <vt:lpwstr>eyJoZGlkIjoiN2RmZTk0ZmRmNmUzOWU3ZDYyYzk1NzQyMTg3OGZhYjQiLCJ1c2VySWQiOiIyOTI4Nzc0NDEifQ==</vt:lpwstr>
  </property>
</Properties>
</file>