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山东鹏程路桥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集团有限公司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第一季度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财务等重大信息公开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5" w:beforeLines="30"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lang w:val="en-US" w:eastAsia="zh-CN"/>
        </w:rPr>
        <w:t>公司基本情况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5" w:beforeLines="30"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lang w:val="en-US" w:eastAsia="zh-CN"/>
        </w:rPr>
        <w:t>企业简介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5" w:beforeLines="30" w:line="580" w:lineRule="exact"/>
        <w:ind w:left="0" w:leftChars="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 xml:space="preserve">   山东鹏程路桥集团有限公司成立于2005年3月，坐落于孔孟之乡、运河之都——山东省济宁市,是一家以高等级公路、市政工程、桥梁工程及公路安全设施等为主业的综合性施工企业。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5" w:beforeLines="30"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公司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具有国家公路工程施工总承包一级、公路路面工程专业承包一级、公路桥梁工程专业承包二级、市政公用工程施工总承包二级资质，试验室综合乙级资质，是山东省内为数不多的资质齐全且等级较高的公路、桥梁、市政基础设施综合性施工企业；公司先后通过了ISO9001质量管理、ISO14001环境管理、OHSAS18001职业健康安全管理三位一体体系认证，以及交通运输建筑施工企业安全生产标准化一级达标，为中国公路建设行业协会理事单位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5" w:beforeLines="30"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lang w:val="en-US" w:eastAsia="zh-CN"/>
        </w:rPr>
        <w:t>企业基本信息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5" w:beforeLines="30"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企业名称:山东鹏程路桥集团有限公司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5" w:beforeLines="30"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注册地址:山东省济宁市嘉祥县建设北路61号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5" w:beforeLines="30" w:line="580" w:lineRule="exact"/>
        <w:ind w:left="0" w:leftChars="0"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登记机关: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嘉祥县行政审批服务局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5" w:beforeLines="30"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经营范围: 企业的经营范围为:许可项目：建设工程施工；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建设工程设计；建设工程质量检测；公路管理与养护；路基路面养护作业。（依法须经批准的项目，经相关部门批准后方可开展经营活动，具体经营项目以相关部门批准文件或许可证件为准）一般项目：公路水运工程试验检测服务；园林绿化工程施工；机械设备租赁；建筑材料销售；水泥制品销售；市政设施管理；停车场服务；交通安全、管制专用设备制造；安全系统监控服务；交通及公共管理用标牌销售；金属材料销售；金属矿石销售；金属制品销售；金属结构销售；煤炭及制品销售；再生资源销售；电线、电缆经营。（除依法须经批准的项目外，凭营业执照依法自主开展经营活动）企业类型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其他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有限责任公司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5" w:beforeLines="30"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成立日期: 20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05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28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日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lang w:val="en-US" w:eastAsia="zh-CN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lang w:val="en-US"/>
        </w:rPr>
        <w:t>主要会计数据和财务指标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黑体简体" w:cs="Times New Roman"/>
          <w:b/>
          <w:bCs/>
          <w:color w:val="auto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color w:val="auto"/>
          <w:lang w:val="en-US" w:eastAsia="zh-CN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color w:val="auto"/>
          <w:lang w:val="en-US" w:eastAsia="zh-CN"/>
        </w:rPr>
        <w:t>5</w:t>
      </w:r>
      <w:r>
        <w:rPr>
          <w:rFonts w:hint="default" w:ascii="Times New Roman" w:hAnsi="Times New Roman" w:eastAsia="方正黑体简体" w:cs="Times New Roman"/>
          <w:b/>
          <w:bCs/>
          <w:color w:val="auto"/>
          <w:lang w:val="en-US" w:eastAsia="zh-CN"/>
        </w:rPr>
        <w:t>年1-</w:t>
      </w:r>
      <w:r>
        <w:rPr>
          <w:rFonts w:hint="eastAsia" w:ascii="Times New Roman" w:hAnsi="Times New Roman" w:eastAsia="方正黑体简体" w:cs="Times New Roman"/>
          <w:b/>
          <w:bCs/>
          <w:color w:val="auto"/>
          <w:lang w:val="en-US" w:eastAsia="zh-CN"/>
        </w:rPr>
        <w:t>3</w:t>
      </w:r>
      <w:r>
        <w:rPr>
          <w:rFonts w:hint="default" w:ascii="Times New Roman" w:hAnsi="Times New Roman" w:eastAsia="方正黑体简体" w:cs="Times New Roman"/>
          <w:b/>
          <w:bCs/>
          <w:color w:val="auto"/>
          <w:lang w:val="en-US" w:eastAsia="zh-CN"/>
        </w:rPr>
        <w:t>月主要财务数据</w:t>
      </w:r>
    </w:p>
    <w:p>
      <w:pPr>
        <w:pStyle w:val="3"/>
        <w:widowControl w:val="0"/>
        <w:numPr>
          <w:ilvl w:val="0"/>
          <w:numId w:val="0"/>
        </w:numPr>
        <w:autoSpaceDE w:val="0"/>
        <w:autoSpaceDN w:val="0"/>
        <w:spacing w:line="600" w:lineRule="exact"/>
        <w:ind w:firstLine="5722" w:firstLineChars="1900"/>
        <w:jc w:val="both"/>
        <w:rPr>
          <w:rFonts w:hint="default" w:ascii="Times New Roman" w:hAnsi="Times New Roman" w:eastAsia="方正楷体简体" w:cs="Times New Roman"/>
          <w:b/>
          <w:bCs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color w:val="auto"/>
          <w:sz w:val="30"/>
          <w:szCs w:val="30"/>
          <w:lang w:val="en-US" w:eastAsia="zh-CN"/>
        </w:rPr>
        <w:t>单位：人民币万元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7"/>
        <w:gridCol w:w="3054"/>
        <w:gridCol w:w="3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467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项  目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本期金额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上期金额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467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营业总收入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51,830.27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252,306.2</w:t>
            </w:r>
            <w:r>
              <w:rPr>
                <w:rFonts w:hint="eastAsia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467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营业总成本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49,017.66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242,691.88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2467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利润总额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2,813.00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9,618.67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2467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项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目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期末余额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期初余额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467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资产总额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322,844.70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303,891.69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467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负债总额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288,209.83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271,334.58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467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所有者权益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34,634.87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32,557.11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color w:val="auto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color w:val="auto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黑体简体" w:cs="Times New Roman"/>
          <w:b/>
          <w:color w:val="auto"/>
          <w:sz w:val="32"/>
          <w:szCs w:val="32"/>
        </w:rPr>
        <w:t>财务预算执行情况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5" w:beforeLines="30" w:line="580" w:lineRule="exact"/>
        <w:ind w:left="0" w:leftChars="0" w:firstLine="645"/>
        <w:textAlignment w:val="auto"/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年1-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月累计实现营业收入51,830.27万元，完成全年预算306,543万元的16.91%；成本费用总额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 w:bidi="ar-SA"/>
        </w:rPr>
        <w:t>49,017.66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万元，完成全年预算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294,342.70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万元的16.65%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；累计实现利润总额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2,813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万元，完成全年预算12,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00.30万元的23.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06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% 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5" w:beforeLines="30" w:line="580" w:lineRule="exact"/>
        <w:ind w:left="0" w:leftChars="0" w:firstLine="645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  <w:t>四、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  <w:t>季度内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  <w:t>发生的重大事项及对企业的影响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5" w:beforeLines="30" w:line="580" w:lineRule="exact"/>
        <w:ind w:firstLine="643" w:firstLineChars="200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  <w:t>无。</w:t>
      </w:r>
    </w:p>
    <w:sectPr>
      <w:pgSz w:w="11906" w:h="16838"/>
      <w:pgMar w:top="2098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B975D72"/>
    <w:multiLevelType w:val="singleLevel"/>
    <w:tmpl w:val="CB975D7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A9066F3"/>
    <w:multiLevelType w:val="singleLevel"/>
    <w:tmpl w:val="4A9066F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5NTVkZTQ3NjU1OGM5MGE1MzI4YzBmNTNmNTkwZTgifQ=="/>
    <w:docVar w:name="KSO_WPS_MARK_KEY" w:val="2bcd10c2-d530-4912-911c-8800ebd80bd2"/>
  </w:docVars>
  <w:rsids>
    <w:rsidRoot w:val="00000000"/>
    <w:rsid w:val="08A87C61"/>
    <w:rsid w:val="0B7C47BE"/>
    <w:rsid w:val="101A128C"/>
    <w:rsid w:val="106357E3"/>
    <w:rsid w:val="15F66C34"/>
    <w:rsid w:val="1B82217E"/>
    <w:rsid w:val="24B61D5E"/>
    <w:rsid w:val="26BF4676"/>
    <w:rsid w:val="283915F3"/>
    <w:rsid w:val="375A76DE"/>
    <w:rsid w:val="3DE47B36"/>
    <w:rsid w:val="3E0D0B44"/>
    <w:rsid w:val="43CC4F53"/>
    <w:rsid w:val="44AC140E"/>
    <w:rsid w:val="45A667E6"/>
    <w:rsid w:val="4AD66A58"/>
    <w:rsid w:val="4BDA60D4"/>
    <w:rsid w:val="52662470"/>
    <w:rsid w:val="54864DB0"/>
    <w:rsid w:val="57203535"/>
    <w:rsid w:val="613C2683"/>
    <w:rsid w:val="64487C27"/>
    <w:rsid w:val="66253C79"/>
    <w:rsid w:val="6A8B43D9"/>
    <w:rsid w:val="71F6731E"/>
    <w:rsid w:val="747F1A52"/>
    <w:rsid w:val="76A41635"/>
    <w:rsid w:val="7BA71EDC"/>
    <w:rsid w:val="7BCC0653"/>
    <w:rsid w:val="7F361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qFormat/>
    <w:uiPriority w:val="1"/>
    <w:rPr>
      <w:sz w:val="32"/>
      <w:szCs w:val="32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1004</Words>
  <Characters>1206</Characters>
  <Lines>0</Lines>
  <Paragraphs>0</Paragraphs>
  <TotalTime>61</TotalTime>
  <ScaleCrop>false</ScaleCrop>
  <LinksUpToDate>false</LinksUpToDate>
  <CharactersWithSpaces>1216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2024-04-22T06:55:00Z</dcterms:created>
  <dc:creator>Administrator</dc:creator>
  <cp:lastModifiedBy>张娜</cp:lastModifiedBy>
  <cp:lastPrinted>2025-04-25T09:14:00Z</cp:lastPrinted>
  <dcterms:modified xsi:type="dcterms:W3CDTF">2025-04-30T09:40:48Z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8A25C7D3D77245F3B42544DCE8C5560C_13</vt:lpwstr>
  </property>
  <property fmtid="{D5CDD505-2E9C-101B-9397-08002B2CF9AE}" pid="4" name="KSOTemplateDocerSaveRecord">
    <vt:lpwstr>eyJoZGlkIjoiZDRmNjdkYzZhNjBmMjA2OGFhNTVmZDc1ZDA5ZGY1YmEiLCJ1c2VySWQiOiI2MzE3MTYxMTMifQ==</vt:lpwstr>
  </property>
</Properties>
</file>