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12DBAC">
      <w:pPr>
        <w:snapToGrid w:val="0"/>
        <w:spacing w:line="600" w:lineRule="exact"/>
        <w:jc w:val="center"/>
        <w:rPr>
          <w:rFonts w:ascii="Times New Roman" w:hAnsi="Times New Roman" w:eastAsia="方正小标宋简体" w:cs="方正小标宋简体"/>
          <w:b/>
          <w:bCs/>
          <w:sz w:val="44"/>
          <w:szCs w:val="44"/>
        </w:rPr>
      </w:pPr>
    </w:p>
    <w:p w14:paraId="105F91E5">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bCs/>
          <w:sz w:val="44"/>
          <w:szCs w:val="44"/>
        </w:rPr>
      </w:pPr>
      <w:r>
        <w:rPr>
          <w:rFonts w:hint="eastAsia" w:ascii="Times New Roman" w:hAnsi="Times New Roman" w:eastAsia="方正小标宋简体" w:cs="方正小标宋简体"/>
          <w:b/>
          <w:bCs/>
          <w:sz w:val="44"/>
          <w:szCs w:val="44"/>
        </w:rPr>
        <w:t>嘉祥玖贡置业有限公司</w:t>
      </w:r>
    </w:p>
    <w:p w14:paraId="5C1A78A9">
      <w:pPr>
        <w:keepNext w:val="0"/>
        <w:keepLines w:val="0"/>
        <w:pageBreakBefore w:val="0"/>
        <w:widowControl w:val="0"/>
        <w:kinsoku/>
        <w:wordWrap/>
        <w:overflowPunct/>
        <w:topLinePunct w:val="0"/>
        <w:autoSpaceDE/>
        <w:autoSpaceDN/>
        <w:bidi w:val="0"/>
        <w:adjustRightInd/>
        <w:snapToGrid w:val="0"/>
        <w:spacing w:line="640" w:lineRule="exact"/>
        <w:jc w:val="center"/>
        <w:textAlignment w:val="auto"/>
        <w:rPr>
          <w:rFonts w:ascii="Times New Roman" w:hAnsi="Times New Roman" w:eastAsia="方正小标宋简体" w:cs="方正小标宋简体"/>
          <w:b/>
          <w:sz w:val="44"/>
          <w:szCs w:val="44"/>
        </w:rPr>
      </w:pPr>
      <w:r>
        <w:rPr>
          <w:rFonts w:hint="eastAsia" w:ascii="Times New Roman" w:hAnsi="Times New Roman" w:eastAsia="方正小标宋简体" w:cs="方正小标宋简体"/>
          <w:b/>
          <w:bCs/>
          <w:sz w:val="44"/>
          <w:szCs w:val="44"/>
        </w:rPr>
        <w:t>202</w:t>
      </w:r>
      <w:r>
        <w:rPr>
          <w:rFonts w:hint="eastAsia" w:ascii="Times New Roman" w:hAnsi="Times New Roman" w:eastAsia="方正小标宋简体" w:cs="方正小标宋简体"/>
          <w:b/>
          <w:bCs/>
          <w:sz w:val="44"/>
          <w:szCs w:val="44"/>
          <w:lang w:val="en-US" w:eastAsia="zh-CN"/>
        </w:rPr>
        <w:t>5</w:t>
      </w:r>
      <w:r>
        <w:rPr>
          <w:rFonts w:hint="eastAsia" w:ascii="Times New Roman" w:hAnsi="Times New Roman" w:eastAsia="方正小标宋简体" w:cs="方正小标宋简体"/>
          <w:b/>
          <w:bCs/>
          <w:sz w:val="44"/>
          <w:szCs w:val="44"/>
        </w:rPr>
        <w:t>年</w:t>
      </w:r>
      <w:r>
        <w:rPr>
          <w:rFonts w:hint="eastAsia" w:ascii="Times New Roman" w:hAnsi="Times New Roman" w:eastAsia="方正小标宋简体" w:cs="方正小标宋简体"/>
          <w:b/>
          <w:bCs/>
          <w:sz w:val="44"/>
          <w:szCs w:val="44"/>
          <w:lang w:eastAsia="zh-CN"/>
        </w:rPr>
        <w:t>第一</w:t>
      </w:r>
      <w:r>
        <w:rPr>
          <w:rFonts w:hint="eastAsia" w:ascii="Times New Roman" w:hAnsi="Times New Roman" w:eastAsia="方正小标宋简体" w:cs="方正小标宋简体"/>
          <w:b/>
          <w:bCs/>
          <w:sz w:val="44"/>
          <w:szCs w:val="44"/>
          <w:lang w:val="en-US" w:eastAsia="zh-CN"/>
        </w:rPr>
        <w:t>度</w:t>
      </w:r>
      <w:r>
        <w:rPr>
          <w:rFonts w:hint="eastAsia" w:ascii="Times New Roman" w:hAnsi="Times New Roman" w:eastAsia="方正小标宋简体" w:cs="方正小标宋简体"/>
          <w:b/>
          <w:bCs/>
          <w:sz w:val="44"/>
          <w:szCs w:val="44"/>
        </w:rPr>
        <w:t>财务等重大信息公开</w:t>
      </w:r>
    </w:p>
    <w:p w14:paraId="4881DEAF">
      <w:pPr>
        <w:spacing w:line="600" w:lineRule="exact"/>
        <w:rPr>
          <w:rFonts w:ascii="Times New Roman" w:hAnsi="Times New Roman" w:eastAsia="方正小标宋简体" w:cs="Times New Roman"/>
          <w:b/>
          <w:bCs/>
          <w:sz w:val="32"/>
          <w:szCs w:val="32"/>
        </w:rPr>
      </w:pPr>
    </w:p>
    <w:p w14:paraId="25DD46AE">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firstLine="643" w:firstLineChars="200"/>
        <w:textAlignment w:val="auto"/>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 xml:space="preserve">公司基本情况 </w:t>
      </w:r>
    </w:p>
    <w:p w14:paraId="563FC41E">
      <w:pPr>
        <w:keepNext w:val="0"/>
        <w:keepLines w:val="0"/>
        <w:pageBreakBefore w:val="0"/>
        <w:widowControl w:val="0"/>
        <w:kinsoku/>
        <w:wordWrap/>
        <w:overflowPunct/>
        <w:topLinePunct w:val="0"/>
        <w:autoSpaceDE/>
        <w:autoSpaceDN/>
        <w:bidi w:val="0"/>
        <w:adjustRightIn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（一）企业简介</w:t>
      </w:r>
    </w:p>
    <w:p w14:paraId="092044E0">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嘉祥玖贡置业有限公司是山东公用置业有限公司与九巨龙房地产开发集团</w:t>
      </w:r>
      <w:r>
        <w:rPr>
          <w:rFonts w:hint="eastAsia" w:ascii="Times New Roman" w:hAnsi="Times New Roman" w:eastAsia="方正仿宋简体" w:cs="Times New Roman"/>
          <w:b/>
          <w:bCs/>
          <w:sz w:val="32"/>
          <w:szCs w:val="32"/>
          <w:lang w:val="en-US" w:eastAsia="zh-CN"/>
        </w:rPr>
        <w:t>各</w:t>
      </w:r>
      <w:r>
        <w:rPr>
          <w:rFonts w:hint="default" w:ascii="Times New Roman" w:hAnsi="Times New Roman" w:eastAsia="方正仿宋简体" w:cs="Times New Roman"/>
          <w:b/>
          <w:bCs/>
          <w:sz w:val="32"/>
          <w:szCs w:val="32"/>
          <w:lang w:val="en-US" w:eastAsia="zh-CN"/>
        </w:rPr>
        <w:t>出资</w:t>
      </w:r>
      <w:r>
        <w:rPr>
          <w:rFonts w:hint="eastAsia" w:ascii="Times New Roman" w:hAnsi="Times New Roman" w:eastAsia="方正仿宋简体" w:cs="Times New Roman"/>
          <w:b/>
          <w:bCs/>
          <w:sz w:val="32"/>
          <w:szCs w:val="32"/>
          <w:lang w:val="en-US" w:eastAsia="zh-CN"/>
        </w:rPr>
        <w:t>50%</w:t>
      </w:r>
      <w:r>
        <w:rPr>
          <w:rFonts w:hint="default" w:ascii="Times New Roman" w:hAnsi="Times New Roman" w:eastAsia="方正仿宋简体" w:cs="Times New Roman"/>
          <w:b/>
          <w:bCs/>
          <w:sz w:val="32"/>
          <w:szCs w:val="32"/>
          <w:lang w:val="en-US" w:eastAsia="zh-CN"/>
        </w:rPr>
        <w:t>设立的企业</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成立于2018年8月</w:t>
      </w:r>
      <w:r>
        <w:rPr>
          <w:rFonts w:hint="eastAsia" w:ascii="Times New Roman" w:hAnsi="Times New Roman" w:eastAsia="方正仿宋简体" w:cs="Times New Roman"/>
          <w:b/>
          <w:bCs/>
          <w:sz w:val="32"/>
          <w:szCs w:val="32"/>
          <w:lang w:val="en-US" w:eastAsia="zh-CN"/>
        </w:rPr>
        <w:t>22日</w:t>
      </w:r>
      <w:r>
        <w:rPr>
          <w:rFonts w:hint="default" w:ascii="Times New Roman" w:hAnsi="Times New Roman" w:eastAsia="方正仿宋简体" w:cs="Times New Roman"/>
          <w:b/>
          <w:bCs/>
          <w:sz w:val="32"/>
          <w:szCs w:val="32"/>
          <w:lang w:val="en-US" w:eastAsia="zh-CN"/>
        </w:rPr>
        <w:t>，注册资本金2000万元</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lang w:val="en-US" w:eastAsia="zh-CN"/>
        </w:rPr>
        <w:t>经营范围包括房地产开发经营。（依法须经批准的项目，经相关部门批准后方可开展经营活动）</w:t>
      </w:r>
    </w:p>
    <w:p w14:paraId="6F317535">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公司以“树立品牌形象，建设优质工程，打造诚信企业”为宗旨，一贯坚持以“市场为导向、开发为重点、经营为龙头、质量为根本”的开发理念和经营方针，致力于开发精品楼盘，优化嘉祥人居环境，精心为客户提供全方位、高品质的良好服务，走品牌化发展道路，开发项目以典雅恢弘的建筑，匠心独运的设计。</w:t>
      </w:r>
    </w:p>
    <w:p w14:paraId="1BEFF6A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default"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lang w:val="en-US" w:eastAsia="zh-CN"/>
        </w:rPr>
        <w:t>公司开发项目为嘉祥公用丨九巨龙·山水龙城，位于嘉祥县嘉祥街道，小区坐拥优越的青山绿水资源---萌山公园、萌山湖，“依山、傍水、拥湖、赏园”的同时，也规划设计了和项目浑然一体的园内景观。基于对高端人居的深刻洞察，打造智能化社区，聚焦城市高端科技，小区内安装社区直饮水系统、智能入户、社区安防系统、可视对讲、快递智能收发系统、社区WIFI系统，科技融入社区的每一个角落。</w:t>
      </w:r>
    </w:p>
    <w:p w14:paraId="66AA998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楷体简体" w:cs="方正楷体简体"/>
          <w:b/>
          <w:bCs/>
          <w:sz w:val="32"/>
          <w:szCs w:val="32"/>
        </w:rPr>
      </w:pPr>
      <w:r>
        <w:rPr>
          <w:rFonts w:hint="eastAsia" w:ascii="Times New Roman" w:hAnsi="Times New Roman" w:eastAsia="方正楷体简体" w:cs="方正楷体简体"/>
          <w:b/>
          <w:bCs/>
          <w:sz w:val="32"/>
          <w:szCs w:val="32"/>
        </w:rPr>
        <w:t>（二）企业基本信息</w:t>
      </w:r>
    </w:p>
    <w:p w14:paraId="243F33E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企业名称：嘉祥玖贡置业有限公司</w:t>
      </w:r>
    </w:p>
    <w:p w14:paraId="2EB66B1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注册地址：山东省济宁市嘉祥县获麟街115号（自来水公司院内）3号楼二楼东侧北首第一间</w:t>
      </w:r>
    </w:p>
    <w:p w14:paraId="7E71C58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登记机关：济宁市嘉祥县行政审批服务局</w:t>
      </w:r>
    </w:p>
    <w:p w14:paraId="6E4B470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经营范围：房地产开发经营</w:t>
      </w:r>
    </w:p>
    <w:p w14:paraId="5428976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企业类型：其他有限责任公司</w:t>
      </w:r>
    </w:p>
    <w:p w14:paraId="28521F2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成立日期：2018年08月22日</w:t>
      </w:r>
    </w:p>
    <w:p w14:paraId="09DFCE5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楷体简体" w:cs="方正楷体简体"/>
          <w:b/>
          <w:bCs/>
          <w:sz w:val="32"/>
          <w:szCs w:val="32"/>
        </w:rPr>
        <w:t>（三）机构设置</w:t>
      </w:r>
    </w:p>
    <w:p w14:paraId="6D9712D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rPr>
        <w:t>公司设董事会，成员5人；设总经理1人；设6个部室、1个项目部，分别为：综合部、财务部、工程部、成本部、采购部、销售部、山水龙城项目部。</w:t>
      </w:r>
    </w:p>
    <w:p w14:paraId="2A384DD8">
      <w:pPr>
        <w:numPr>
          <w:ilvl w:val="0"/>
          <w:numId w:val="1"/>
        </w:numPr>
        <w:snapToGrid w:val="0"/>
        <w:spacing w:line="600" w:lineRule="exact"/>
        <w:ind w:firstLine="643" w:firstLineChars="200"/>
        <w:rPr>
          <w:rFonts w:ascii="Times New Roman" w:hAnsi="Times New Roman" w:eastAsia="方正黑体简体" w:cs="Times New Roman"/>
          <w:b/>
          <w:sz w:val="32"/>
          <w:szCs w:val="32"/>
        </w:rPr>
      </w:pPr>
      <w:r>
        <w:rPr>
          <w:rFonts w:ascii="Times New Roman" w:hAnsi="Times New Roman" w:eastAsia="方正黑体简体" w:cs="Times New Roman"/>
          <w:b/>
          <w:bCs/>
          <w:sz w:val="32"/>
          <w:szCs w:val="32"/>
        </w:rPr>
        <w:t>主要会计数据和财务指标</w:t>
      </w:r>
    </w:p>
    <w:tbl>
      <w:tblPr>
        <w:tblStyle w:val="5"/>
        <w:tblW w:w="8940" w:type="dxa"/>
        <w:jc w:val="center"/>
        <w:tblLayout w:type="autofit"/>
        <w:tblCellMar>
          <w:top w:w="0" w:type="dxa"/>
          <w:left w:w="108" w:type="dxa"/>
          <w:bottom w:w="0" w:type="dxa"/>
          <w:right w:w="108" w:type="dxa"/>
        </w:tblCellMar>
      </w:tblPr>
      <w:tblGrid>
        <w:gridCol w:w="1317"/>
        <w:gridCol w:w="1769"/>
        <w:gridCol w:w="2042"/>
        <w:gridCol w:w="2042"/>
        <w:gridCol w:w="1770"/>
      </w:tblGrid>
      <w:tr w14:paraId="04E3A79E">
        <w:tblPrEx>
          <w:tblCellMar>
            <w:top w:w="0" w:type="dxa"/>
            <w:left w:w="108" w:type="dxa"/>
            <w:bottom w:w="0" w:type="dxa"/>
            <w:right w:w="108" w:type="dxa"/>
          </w:tblCellMar>
        </w:tblPrEx>
        <w:trPr>
          <w:trHeight w:val="525" w:hRule="atLeast"/>
          <w:jc w:val="center"/>
        </w:trPr>
        <w:tc>
          <w:tcPr>
            <w:tcW w:w="8940" w:type="dxa"/>
            <w:gridSpan w:val="5"/>
            <w:tcBorders>
              <w:top w:val="nil"/>
              <w:left w:val="nil"/>
              <w:bottom w:val="nil"/>
              <w:right w:val="nil"/>
            </w:tcBorders>
            <w:shd w:val="clear" w:color="auto" w:fill="auto"/>
            <w:noWrap/>
            <w:vAlign w:val="center"/>
          </w:tcPr>
          <w:p w14:paraId="1CD629F9">
            <w:pPr>
              <w:widowControl/>
              <w:textAlignment w:val="center"/>
              <w:rPr>
                <w:rFonts w:ascii="Times New Roman" w:hAnsi="Times New Roman" w:eastAsia="宋体" w:cs="宋体"/>
                <w:color w:val="000000"/>
                <w:sz w:val="22"/>
                <w:szCs w:val="22"/>
              </w:rPr>
            </w:pPr>
            <w:r>
              <w:rPr>
                <w:rFonts w:hint="eastAsia" w:ascii="Times New Roman" w:hAnsi="Times New Roman" w:eastAsia="宋体" w:cs="宋体"/>
                <w:color w:val="000000"/>
                <w:kern w:val="0"/>
                <w:sz w:val="22"/>
                <w:szCs w:val="22"/>
              </w:rPr>
              <w:t>单位： 嘉祥玖贡置业有限公司                                           单位：万元</w:t>
            </w:r>
          </w:p>
        </w:tc>
      </w:tr>
      <w:tr w14:paraId="40A11DA3">
        <w:tblPrEx>
          <w:tblCellMar>
            <w:top w:w="0" w:type="dxa"/>
            <w:left w:w="108" w:type="dxa"/>
            <w:bottom w:w="0" w:type="dxa"/>
            <w:right w:w="108" w:type="dxa"/>
          </w:tblCellMar>
        </w:tblPrEx>
        <w:trPr>
          <w:trHeight w:val="600" w:hRule="atLeast"/>
          <w:jc w:val="center"/>
        </w:trPr>
        <w:tc>
          <w:tcPr>
            <w:tcW w:w="1317"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190CEEB3">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项目</w:t>
            </w:r>
          </w:p>
        </w:tc>
        <w:tc>
          <w:tcPr>
            <w:tcW w:w="1769"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4D74C11">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本期金额</w:t>
            </w:r>
          </w:p>
        </w:tc>
        <w:tc>
          <w:tcPr>
            <w:tcW w:w="2042"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0E5A2D00">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年度预算目标</w:t>
            </w:r>
          </w:p>
        </w:tc>
        <w:tc>
          <w:tcPr>
            <w:tcW w:w="2042"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3710E8C2">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预算完成情况</w:t>
            </w:r>
          </w:p>
        </w:tc>
        <w:tc>
          <w:tcPr>
            <w:tcW w:w="1770"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57A37B9A">
            <w:pPr>
              <w:keepNext w:val="0"/>
              <w:keepLines w:val="0"/>
              <w:widowControl/>
              <w:suppressLineNumbers w:val="0"/>
              <w:jc w:val="center"/>
              <w:textAlignment w:val="center"/>
              <w:rPr>
                <w:rFonts w:ascii="Times New Roman" w:hAnsi="Times New Roman" w:eastAsia="宋体" w:cs="宋体"/>
                <w:color w:val="000000"/>
                <w:sz w:val="22"/>
                <w:szCs w:val="22"/>
              </w:rPr>
            </w:pPr>
            <w:r>
              <w:rPr>
                <w:rFonts w:hint="default" w:ascii="Times New Roman" w:hAnsi="Times New Roman" w:eastAsia="宋体" w:cs="Times New Roman"/>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t>上年同期</w:t>
            </w:r>
          </w:p>
        </w:tc>
      </w:tr>
      <w:tr w14:paraId="58B4D8B5">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4E7C975">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营业总收入</w:t>
            </w:r>
          </w:p>
        </w:tc>
        <w:tc>
          <w:tcPr>
            <w:tcW w:w="1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3B8E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15,313</w:t>
            </w:r>
            <w:r>
              <w:rPr>
                <w:rFonts w:hint="eastAsia" w:ascii="Times New Roman" w:hAnsi="Times New Roman" w:eastAsia="宋体" w:cs="Times New Roman"/>
                <w:i w:val="0"/>
                <w:iCs w:val="0"/>
                <w:color w:val="000000"/>
                <w:kern w:val="0"/>
                <w:sz w:val="22"/>
                <w:szCs w:val="22"/>
                <w:u w:val="none"/>
                <w:lang w:val="en-US" w:eastAsia="zh-CN" w:bidi="ar"/>
              </w:rPr>
              <w:t>.00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8687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eastAsia="宋体" w:cs="Times New Roman"/>
                <w:i w:val="0"/>
                <w:iCs w:val="0"/>
                <w:color w:val="000000"/>
                <w:kern w:val="0"/>
                <w:sz w:val="22"/>
                <w:szCs w:val="22"/>
                <w:u w:val="none"/>
                <w:lang w:val="en-US" w:eastAsia="zh-CN" w:bidi="ar"/>
              </w:rPr>
              <w:t>82,344.16</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7E06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18.60%</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1DA0E79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18,749.00</w:t>
            </w:r>
          </w:p>
        </w:tc>
      </w:tr>
      <w:tr w14:paraId="316885CD">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4F866354">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营业总成本</w:t>
            </w:r>
          </w:p>
        </w:tc>
        <w:tc>
          <w:tcPr>
            <w:tcW w:w="1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7C458">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11,736.00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36A57">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65,812.27</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1109C">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17.83%</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30BABFF4">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14,134.00</w:t>
            </w:r>
          </w:p>
        </w:tc>
      </w:tr>
      <w:tr w14:paraId="4BC44303">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5C412DBA">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利润总额</w:t>
            </w:r>
          </w:p>
        </w:tc>
        <w:tc>
          <w:tcPr>
            <w:tcW w:w="1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3A19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3,577.00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5EA5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16,537.00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D704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21.63%</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4297C92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4,626.00</w:t>
            </w:r>
          </w:p>
        </w:tc>
      </w:tr>
      <w:tr w14:paraId="3C2E3CA3">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62C0BA3B">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净利润</w:t>
            </w:r>
          </w:p>
        </w:tc>
        <w:tc>
          <w:tcPr>
            <w:tcW w:w="1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2A9D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2,683.00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A438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12,402.75</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36DD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21.63%</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7931BE6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4,006.00</w:t>
            </w:r>
          </w:p>
        </w:tc>
      </w:tr>
      <w:tr w14:paraId="16B813DC">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3AA8951C">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资产总额</w:t>
            </w:r>
          </w:p>
        </w:tc>
        <w:tc>
          <w:tcPr>
            <w:tcW w:w="1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33BA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230,713.00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8354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174,670.48</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4FE2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132.08%</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30A44C4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233,805.00</w:t>
            </w:r>
          </w:p>
        </w:tc>
      </w:tr>
      <w:tr w14:paraId="61BD7BFE">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4" w:space="0"/>
              <w:right w:val="single" w:color="000000" w:sz="4" w:space="0"/>
            </w:tcBorders>
            <w:shd w:val="clear" w:color="auto" w:fill="auto"/>
            <w:noWrap/>
            <w:vAlign w:val="center"/>
          </w:tcPr>
          <w:p w14:paraId="0B1E670A">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负债总额</w:t>
            </w:r>
          </w:p>
        </w:tc>
        <w:tc>
          <w:tcPr>
            <w:tcW w:w="17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0268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217,684.00</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2959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151,921.42</w:t>
            </w:r>
          </w:p>
        </w:tc>
        <w:tc>
          <w:tcPr>
            <w:tcW w:w="20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AF0B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143.29%</w:t>
            </w:r>
          </w:p>
        </w:tc>
        <w:tc>
          <w:tcPr>
            <w:tcW w:w="177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14:paraId="633ED7A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229,946.00</w:t>
            </w:r>
          </w:p>
        </w:tc>
      </w:tr>
      <w:tr w14:paraId="62B2F365">
        <w:tblPrEx>
          <w:tblCellMar>
            <w:top w:w="0" w:type="dxa"/>
            <w:left w:w="108" w:type="dxa"/>
            <w:bottom w:w="0" w:type="dxa"/>
            <w:right w:w="108" w:type="dxa"/>
          </w:tblCellMar>
        </w:tblPrEx>
        <w:trPr>
          <w:trHeight w:val="600" w:hRule="atLeast"/>
          <w:jc w:val="center"/>
        </w:trPr>
        <w:tc>
          <w:tcPr>
            <w:tcW w:w="1317" w:type="dxa"/>
            <w:tcBorders>
              <w:top w:val="single" w:color="000000" w:sz="4" w:space="0"/>
              <w:left w:val="single" w:color="000000" w:sz="8" w:space="0"/>
              <w:bottom w:val="single" w:color="000000" w:sz="8" w:space="0"/>
              <w:right w:val="single" w:color="000000" w:sz="4" w:space="0"/>
            </w:tcBorders>
            <w:shd w:val="clear" w:color="auto" w:fill="auto"/>
            <w:noWrap/>
            <w:vAlign w:val="center"/>
          </w:tcPr>
          <w:p w14:paraId="4FB81582">
            <w:pPr>
              <w:keepNext w:val="0"/>
              <w:keepLines w:val="0"/>
              <w:widowControl/>
              <w:suppressLineNumbers w:val="0"/>
              <w:jc w:val="center"/>
              <w:textAlignment w:val="center"/>
              <w:rPr>
                <w:rFonts w:ascii="Times New Roman" w:hAnsi="Times New Roman" w:eastAsia="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所有者权益</w:t>
            </w:r>
          </w:p>
        </w:tc>
        <w:tc>
          <w:tcPr>
            <w:tcW w:w="1769"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186B46A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13,029.00</w:t>
            </w:r>
          </w:p>
        </w:tc>
        <w:tc>
          <w:tcPr>
            <w:tcW w:w="204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427A97B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22,749.06</w:t>
            </w:r>
          </w:p>
        </w:tc>
        <w:tc>
          <w:tcPr>
            <w:tcW w:w="2042" w:type="dxa"/>
            <w:tcBorders>
              <w:top w:val="single" w:color="000000" w:sz="4" w:space="0"/>
              <w:left w:val="single" w:color="000000" w:sz="4" w:space="0"/>
              <w:bottom w:val="single" w:color="000000" w:sz="8" w:space="0"/>
              <w:right w:val="single" w:color="000000" w:sz="4" w:space="0"/>
            </w:tcBorders>
            <w:shd w:val="clear" w:color="auto" w:fill="auto"/>
            <w:noWrap/>
            <w:vAlign w:val="center"/>
          </w:tcPr>
          <w:p w14:paraId="21C52BD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57.27%</w:t>
            </w:r>
          </w:p>
        </w:tc>
        <w:tc>
          <w:tcPr>
            <w:tcW w:w="177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14:paraId="3EE1E9D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3,859.00</w:t>
            </w:r>
          </w:p>
        </w:tc>
      </w:tr>
    </w:tbl>
    <w:p w14:paraId="3E49CB46">
      <w:pPr>
        <w:snapToGrid w:val="0"/>
        <w:spacing w:line="600" w:lineRule="exact"/>
        <w:ind w:firstLine="643" w:firstLineChars="200"/>
        <w:rPr>
          <w:rFonts w:ascii="Times New Roman" w:hAnsi="Times New Roman" w:eastAsia="方正小标宋简体" w:cs="Times New Roman"/>
          <w:b/>
          <w:bCs/>
          <w:sz w:val="32"/>
          <w:szCs w:val="32"/>
        </w:rPr>
      </w:pPr>
      <w:r>
        <w:rPr>
          <w:rFonts w:hint="eastAsia" w:ascii="Times New Roman" w:hAnsi="Times New Roman" w:eastAsia="方正黑体简体" w:cs="Times New Roman"/>
          <w:b/>
          <w:bCs/>
          <w:sz w:val="32"/>
          <w:szCs w:val="32"/>
        </w:rPr>
        <w:t>三</w:t>
      </w:r>
      <w:r>
        <w:rPr>
          <w:rFonts w:ascii="Times New Roman" w:hAnsi="Times New Roman" w:eastAsia="方正黑体简体" w:cs="Times New Roman"/>
          <w:b/>
          <w:bCs/>
          <w:sz w:val="32"/>
          <w:szCs w:val="32"/>
        </w:rPr>
        <w:t>、财务预算执行情况</w:t>
      </w:r>
    </w:p>
    <w:p w14:paraId="4719DFF2">
      <w:pPr>
        <w:spacing w:line="560" w:lineRule="exact"/>
        <w:ind w:firstLine="643" w:firstLineChars="200"/>
        <w:rPr>
          <w:rFonts w:hint="eastAsia" w:ascii="Times New Roman" w:hAnsi="Times New Roman" w:eastAsia="方正仿宋简体" w:cs="方正仿宋简体"/>
          <w:b/>
          <w:bCs/>
          <w:sz w:val="32"/>
          <w:szCs w:val="32"/>
        </w:rPr>
      </w:pPr>
      <w:r>
        <w:rPr>
          <w:rFonts w:hint="eastAsia" w:ascii="Times New Roman" w:hAnsi="Times New Roman" w:eastAsia="方正仿宋简体" w:cs="方正仿宋简体"/>
          <w:b/>
          <w:bCs/>
          <w:sz w:val="32"/>
          <w:szCs w:val="32"/>
          <w:lang w:val="en-US" w:eastAsia="zh-CN"/>
        </w:rPr>
        <w:t>2025年第一度</w:t>
      </w:r>
      <w:r>
        <w:rPr>
          <w:rFonts w:hint="eastAsia" w:ascii="Times New Roman" w:hAnsi="Times New Roman" w:eastAsia="方正仿宋简体" w:cs="方正仿宋简体"/>
          <w:b/>
          <w:bCs/>
          <w:sz w:val="32"/>
          <w:szCs w:val="32"/>
        </w:rPr>
        <w:t>累计实现营业收入</w:t>
      </w:r>
      <w:r>
        <w:rPr>
          <w:rFonts w:hint="eastAsia" w:ascii="Times New Roman" w:hAnsi="Times New Roman" w:eastAsia="方正仿宋简体" w:cs="方正仿宋简体"/>
          <w:b/>
          <w:bCs/>
          <w:sz w:val="32"/>
          <w:szCs w:val="32"/>
          <w:lang w:val="en-US" w:eastAsia="zh-CN"/>
        </w:rPr>
        <w:t>1.53亿</w:t>
      </w:r>
      <w:r>
        <w:rPr>
          <w:rFonts w:hint="eastAsia" w:ascii="Times New Roman" w:hAnsi="Times New Roman" w:eastAsia="方正仿宋简体" w:cs="方正仿宋简体"/>
          <w:b/>
          <w:bCs/>
          <w:sz w:val="32"/>
          <w:szCs w:val="32"/>
        </w:rPr>
        <w:t>元</w:t>
      </w:r>
      <w:r>
        <w:rPr>
          <w:rFonts w:hint="eastAsia" w:ascii="Times New Roman" w:hAnsi="Times New Roman" w:eastAsia="方正仿宋简体" w:cs="方正仿宋简体"/>
          <w:b/>
          <w:bCs/>
          <w:sz w:val="32"/>
          <w:szCs w:val="32"/>
          <w:lang w:eastAsia="zh-CN"/>
        </w:rPr>
        <w:t>，较全年预算目标</w:t>
      </w:r>
      <w:r>
        <w:rPr>
          <w:rFonts w:hint="eastAsia" w:ascii="Times New Roman" w:hAnsi="Times New Roman" w:eastAsia="方正仿宋简体" w:cs="方正仿宋简体"/>
          <w:b/>
          <w:bCs/>
          <w:sz w:val="32"/>
          <w:szCs w:val="32"/>
          <w:lang w:val="en-US" w:eastAsia="zh-CN"/>
        </w:rPr>
        <w:t>8.23</w:t>
      </w:r>
      <w:r>
        <w:rPr>
          <w:rFonts w:hint="eastAsia" w:ascii="Times New Roman" w:hAnsi="Times New Roman" w:eastAsia="方正仿宋简体" w:cs="方正仿宋简体"/>
          <w:b/>
          <w:bCs/>
          <w:sz w:val="32"/>
          <w:szCs w:val="32"/>
          <w:lang w:eastAsia="zh-CN"/>
        </w:rPr>
        <w:t>亿元完成</w:t>
      </w:r>
      <w:r>
        <w:rPr>
          <w:rFonts w:hint="eastAsia" w:ascii="Times New Roman" w:hAnsi="Times New Roman" w:eastAsia="方正仿宋简体" w:cs="方正仿宋简体"/>
          <w:b/>
          <w:bCs/>
          <w:sz w:val="32"/>
          <w:szCs w:val="32"/>
          <w:lang w:val="en-US" w:eastAsia="zh-CN"/>
        </w:rPr>
        <w:t>18.6</w:t>
      </w:r>
      <w:r>
        <w:rPr>
          <w:rFonts w:hint="eastAsia" w:ascii="Times New Roman" w:hAnsi="Times New Roman" w:eastAsia="方正仿宋简体" w:cs="方正仿宋简体"/>
          <w:b/>
          <w:bCs/>
          <w:sz w:val="32"/>
          <w:szCs w:val="32"/>
          <w:lang w:eastAsia="zh-CN"/>
        </w:rPr>
        <w:t>%</w:t>
      </w:r>
      <w:r>
        <w:rPr>
          <w:rFonts w:hint="eastAsia" w:ascii="Times New Roman" w:hAnsi="Times New Roman" w:eastAsia="方正仿宋简体" w:cs="方正仿宋简体"/>
          <w:b/>
          <w:bCs/>
          <w:sz w:val="32"/>
          <w:szCs w:val="32"/>
        </w:rPr>
        <w:t>；累计实现利润总额</w:t>
      </w:r>
      <w:r>
        <w:rPr>
          <w:rFonts w:hint="eastAsia" w:ascii="Times New Roman" w:hAnsi="Times New Roman" w:eastAsia="方正仿宋简体" w:cs="方正仿宋简体"/>
          <w:b/>
          <w:bCs/>
          <w:sz w:val="32"/>
          <w:szCs w:val="32"/>
          <w:lang w:val="en-US" w:eastAsia="zh-CN"/>
        </w:rPr>
        <w:t>0.36亿</w:t>
      </w:r>
      <w:r>
        <w:rPr>
          <w:rFonts w:hint="eastAsia" w:ascii="Times New Roman" w:hAnsi="Times New Roman" w:eastAsia="方正仿宋简体" w:cs="方正仿宋简体"/>
          <w:b/>
          <w:bCs/>
          <w:sz w:val="32"/>
          <w:szCs w:val="32"/>
        </w:rPr>
        <w:t>元，较全年预算目标</w:t>
      </w:r>
      <w:r>
        <w:rPr>
          <w:rFonts w:hint="eastAsia" w:ascii="Times New Roman" w:hAnsi="Times New Roman" w:eastAsia="方正仿宋简体" w:cs="方正仿宋简体"/>
          <w:b/>
          <w:bCs/>
          <w:sz w:val="32"/>
          <w:szCs w:val="32"/>
          <w:lang w:val="en-US" w:eastAsia="zh-CN"/>
        </w:rPr>
        <w:t>1.65亿</w:t>
      </w:r>
      <w:r>
        <w:rPr>
          <w:rFonts w:hint="eastAsia" w:ascii="Times New Roman" w:hAnsi="Times New Roman" w:eastAsia="方正仿宋简体" w:cs="方正仿宋简体"/>
          <w:b/>
          <w:bCs/>
          <w:sz w:val="32"/>
          <w:szCs w:val="32"/>
        </w:rPr>
        <w:t>元完成</w:t>
      </w:r>
      <w:r>
        <w:rPr>
          <w:rFonts w:hint="eastAsia" w:ascii="Times New Roman" w:hAnsi="Times New Roman" w:eastAsia="方正仿宋简体" w:cs="方正仿宋简体"/>
          <w:b/>
          <w:bCs/>
          <w:sz w:val="32"/>
          <w:szCs w:val="32"/>
          <w:lang w:val="en-US" w:eastAsia="zh-CN"/>
        </w:rPr>
        <w:t>21.63%</w:t>
      </w:r>
      <w:r>
        <w:rPr>
          <w:rFonts w:hint="eastAsia" w:ascii="Times New Roman" w:hAnsi="Times New Roman" w:eastAsia="方正仿宋简体" w:cs="方正仿宋简体"/>
          <w:b/>
          <w:bCs/>
          <w:sz w:val="32"/>
          <w:szCs w:val="32"/>
        </w:rPr>
        <w:t>；</w:t>
      </w:r>
      <w:r>
        <w:rPr>
          <w:rFonts w:hint="eastAsia" w:ascii="Times New Roman" w:hAnsi="Times New Roman" w:eastAsia="方正仿宋简体" w:cs="方正仿宋简体"/>
          <w:b/>
          <w:bCs/>
          <w:sz w:val="32"/>
          <w:szCs w:val="32"/>
          <w:lang w:val="en-US" w:eastAsia="zh-CN"/>
        </w:rPr>
        <w:t>3月底</w:t>
      </w:r>
      <w:r>
        <w:rPr>
          <w:rFonts w:hint="eastAsia" w:ascii="Times New Roman" w:hAnsi="Times New Roman" w:eastAsia="方正仿宋简体" w:cs="方正仿宋简体"/>
          <w:b/>
          <w:bCs/>
          <w:sz w:val="32"/>
          <w:szCs w:val="32"/>
        </w:rPr>
        <w:t>资产负债率</w:t>
      </w:r>
      <w:r>
        <w:rPr>
          <w:rFonts w:hint="eastAsia" w:ascii="Times New Roman" w:hAnsi="Times New Roman" w:eastAsia="方正仿宋简体" w:cs="方正仿宋简体"/>
          <w:b/>
          <w:bCs/>
          <w:sz w:val="32"/>
          <w:szCs w:val="32"/>
          <w:lang w:val="en-US" w:eastAsia="zh-CN"/>
        </w:rPr>
        <w:t>94.4%</w:t>
      </w:r>
      <w:r>
        <w:rPr>
          <w:rFonts w:hint="eastAsia" w:ascii="Times New Roman" w:hAnsi="Times New Roman" w:eastAsia="方正仿宋简体" w:cs="方正仿宋简体"/>
          <w:b/>
          <w:bCs/>
          <w:sz w:val="32"/>
          <w:szCs w:val="32"/>
        </w:rPr>
        <w:t>，比去年同期的</w:t>
      </w:r>
      <w:r>
        <w:rPr>
          <w:rFonts w:hint="eastAsia" w:ascii="Times New Roman" w:hAnsi="Times New Roman" w:eastAsia="方正仿宋简体" w:cs="方正仿宋简体"/>
          <w:b/>
          <w:bCs/>
          <w:sz w:val="32"/>
          <w:szCs w:val="32"/>
          <w:lang w:val="en-US" w:eastAsia="zh-CN"/>
        </w:rPr>
        <w:t>98.3%下降</w:t>
      </w:r>
      <w:r>
        <w:rPr>
          <w:rFonts w:hint="eastAsia" w:ascii="Times New Roman" w:hAnsi="Times New Roman" w:eastAsia="方正仿宋简体" w:cs="方正仿宋简体"/>
          <w:b/>
          <w:bCs/>
          <w:sz w:val="32"/>
          <w:szCs w:val="32"/>
        </w:rPr>
        <w:t>了</w:t>
      </w:r>
      <w:r>
        <w:rPr>
          <w:rFonts w:hint="eastAsia" w:ascii="Times New Roman" w:hAnsi="Times New Roman" w:eastAsia="方正仿宋简体" w:cs="方正仿宋简体"/>
          <w:b/>
          <w:bCs/>
          <w:sz w:val="32"/>
          <w:szCs w:val="32"/>
          <w:lang w:val="en-US" w:eastAsia="zh-CN"/>
        </w:rPr>
        <w:t>3.9</w:t>
      </w:r>
      <w:r>
        <w:rPr>
          <w:rFonts w:hint="eastAsia" w:ascii="Times New Roman" w:hAnsi="Times New Roman" w:eastAsia="方正仿宋简体" w:cs="方正仿宋简体"/>
          <w:b/>
          <w:bCs/>
          <w:sz w:val="32"/>
          <w:szCs w:val="32"/>
        </w:rPr>
        <w:t>个百分点。</w:t>
      </w:r>
    </w:p>
    <w:p w14:paraId="7F9ACC4C">
      <w:pPr>
        <w:snapToGrid w:val="0"/>
        <w:spacing w:line="600" w:lineRule="exact"/>
        <w:ind w:firstLine="643" w:firstLineChars="200"/>
        <w:rPr>
          <w:rFonts w:hint="eastAsia" w:ascii="Times New Roman" w:hAnsi="Times New Roman" w:eastAsia="方正黑体简体" w:cs="Times New Roman"/>
          <w:b/>
          <w:bCs/>
          <w:sz w:val="32"/>
          <w:szCs w:val="32"/>
          <w:lang w:val="en-US" w:eastAsia="zh-CN"/>
        </w:rPr>
      </w:pPr>
      <w:r>
        <w:rPr>
          <w:rFonts w:hint="eastAsia" w:ascii="Times New Roman" w:hAnsi="Times New Roman" w:eastAsia="方正黑体简体" w:cs="Times New Roman"/>
          <w:b/>
          <w:bCs/>
          <w:sz w:val="32"/>
          <w:szCs w:val="32"/>
          <w:lang w:val="en-US" w:eastAsia="zh-CN"/>
        </w:rPr>
        <w:t>四</w:t>
      </w:r>
      <w:r>
        <w:rPr>
          <w:rFonts w:ascii="Times New Roman" w:hAnsi="Times New Roman" w:eastAsia="方正黑体简体" w:cs="Times New Roman"/>
          <w:b/>
          <w:bCs/>
          <w:sz w:val="32"/>
          <w:szCs w:val="32"/>
        </w:rPr>
        <w:t>、</w:t>
      </w:r>
      <w:r>
        <w:rPr>
          <w:rFonts w:hint="eastAsia" w:ascii="Times New Roman" w:hAnsi="Times New Roman" w:eastAsia="方正黑体简体" w:cs="Times New Roman"/>
          <w:b/>
          <w:bCs/>
          <w:sz w:val="32"/>
          <w:szCs w:val="32"/>
          <w:lang w:val="en-US" w:eastAsia="zh-CN"/>
        </w:rPr>
        <w:t>2025年第一季度内发生的重大事项及对公司的影响</w:t>
      </w:r>
    </w:p>
    <w:p w14:paraId="3CD062A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sz w:val="32"/>
          <w:szCs w:val="32"/>
          <w:lang w:val="en-US" w:eastAsia="zh-CN"/>
        </w:rPr>
      </w:pPr>
      <w:r>
        <w:rPr>
          <w:rFonts w:hint="default" w:ascii="Times New Roman" w:hAnsi="Times New Roman" w:eastAsia="方正仿宋简体" w:cs="Times New Roman"/>
          <w:b/>
          <w:bCs/>
          <w:sz w:val="32"/>
          <w:szCs w:val="32"/>
          <w:lang w:val="en-US" w:eastAsia="zh-CN"/>
        </w:rPr>
        <w:t>嘉祥玖贡置业有限公司</w:t>
      </w:r>
      <w:bookmarkStart w:id="0" w:name="_GoBack"/>
      <w:r>
        <w:rPr>
          <w:rFonts w:hint="eastAsia" w:ascii="Times New Roman" w:hAnsi="Times New Roman" w:eastAsia="方正仿宋简体" w:cs="Times New Roman"/>
          <w:b/>
          <w:bCs/>
          <w:sz w:val="32"/>
          <w:szCs w:val="32"/>
          <w:lang w:val="en-US" w:eastAsia="zh-CN"/>
        </w:rPr>
        <w:t>2025年第一季度</w:t>
      </w:r>
      <w:bookmarkEnd w:id="0"/>
      <w:r>
        <w:rPr>
          <w:rFonts w:hint="eastAsia" w:ascii="Times New Roman" w:hAnsi="Times New Roman" w:eastAsia="方正仿宋简体" w:cs="方正仿宋简体"/>
          <w:b/>
          <w:bCs/>
          <w:sz w:val="32"/>
          <w:szCs w:val="32"/>
          <w:lang w:val="en-US" w:eastAsia="zh-CN"/>
        </w:rPr>
        <w:t>内未发生重大事项。</w:t>
      </w:r>
    </w:p>
    <w:p w14:paraId="6F89F2B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sz w:val="32"/>
          <w:szCs w:val="32"/>
          <w:lang w:val="en-US" w:eastAsia="zh-CN"/>
        </w:rPr>
      </w:pPr>
    </w:p>
    <w:p w14:paraId="0688B0C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sz w:val="32"/>
          <w:szCs w:val="32"/>
          <w:lang w:val="en-US" w:eastAsia="zh-CN"/>
        </w:rPr>
      </w:pPr>
    </w:p>
    <w:p w14:paraId="4419947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方正仿宋简体"/>
          <w:b/>
          <w:bCs/>
          <w:sz w:val="32"/>
          <w:szCs w:val="32"/>
          <w:lang w:val="en-US" w:eastAsia="zh-CN"/>
        </w:rPr>
      </w:pPr>
    </w:p>
    <w:p w14:paraId="7B405A7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方正仿宋简体" w:cs="方正仿宋简体"/>
          <w:b/>
          <w:bCs/>
          <w:sz w:val="32"/>
          <w:szCs w:val="32"/>
          <w:lang w:val="en-US" w:eastAsia="zh-CN"/>
        </w:rPr>
      </w:pPr>
      <w:r>
        <w:rPr>
          <w:rFonts w:hint="eastAsia" w:ascii="Times New Roman" w:hAnsi="Times New Roman" w:eastAsia="方正仿宋简体" w:cs="方正仿宋简体"/>
          <w:b/>
          <w:bCs/>
          <w:sz w:val="32"/>
          <w:szCs w:val="32"/>
          <w:lang w:val="en-US" w:eastAsia="zh-CN"/>
        </w:rPr>
        <w:t xml:space="preserve">                 </w:t>
      </w:r>
    </w:p>
    <w:sectPr>
      <w:footerReference r:id="rId3"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Helvetica Neue">
    <w:altName w:val="宋体"/>
    <w:panose1 w:val="00000000000000000000"/>
    <w:charset w:val="86"/>
    <w:family w:val="roman"/>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81B924">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9AD7EC">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E9AD7EC">
                    <w:pPr>
                      <w:pStyle w:val="3"/>
                    </w:pP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w:t>
                    </w:r>
                    <w:r>
                      <w:rPr>
                        <w:rFonts w:hint="default" w:ascii="Times New Roman" w:hAnsi="Times New Roman" w:cs="Times New Roman"/>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2FBD13"/>
    <w:multiLevelType w:val="singleLevel"/>
    <w:tmpl w:val="3A2FBD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2NGYxNDlhOGMxM2M2NGQwNTVjMzllMGQ4ZGMyNjcifQ=="/>
  </w:docVars>
  <w:rsids>
    <w:rsidRoot w:val="28E8704B"/>
    <w:rsid w:val="00023E53"/>
    <w:rsid w:val="00064C10"/>
    <w:rsid w:val="000B3C65"/>
    <w:rsid w:val="000B768B"/>
    <w:rsid w:val="000F4906"/>
    <w:rsid w:val="001048D2"/>
    <w:rsid w:val="001225CF"/>
    <w:rsid w:val="0016636E"/>
    <w:rsid w:val="00173818"/>
    <w:rsid w:val="001E70D3"/>
    <w:rsid w:val="001F0930"/>
    <w:rsid w:val="00243895"/>
    <w:rsid w:val="002659B0"/>
    <w:rsid w:val="0027474F"/>
    <w:rsid w:val="002F0D05"/>
    <w:rsid w:val="0033664A"/>
    <w:rsid w:val="00387CC5"/>
    <w:rsid w:val="003A2581"/>
    <w:rsid w:val="003B2746"/>
    <w:rsid w:val="003C0776"/>
    <w:rsid w:val="003D4ECA"/>
    <w:rsid w:val="003F200B"/>
    <w:rsid w:val="0040651C"/>
    <w:rsid w:val="004B3BB3"/>
    <w:rsid w:val="004B51FE"/>
    <w:rsid w:val="004C19A7"/>
    <w:rsid w:val="004F2DF9"/>
    <w:rsid w:val="005304BC"/>
    <w:rsid w:val="00545BAB"/>
    <w:rsid w:val="00590DF4"/>
    <w:rsid w:val="005C6338"/>
    <w:rsid w:val="005D0127"/>
    <w:rsid w:val="00646654"/>
    <w:rsid w:val="00663457"/>
    <w:rsid w:val="006C787C"/>
    <w:rsid w:val="007534E3"/>
    <w:rsid w:val="007B1BD4"/>
    <w:rsid w:val="007D5E77"/>
    <w:rsid w:val="00814BA3"/>
    <w:rsid w:val="008152B0"/>
    <w:rsid w:val="00843F2E"/>
    <w:rsid w:val="00883DD5"/>
    <w:rsid w:val="008A4D0D"/>
    <w:rsid w:val="008A6F95"/>
    <w:rsid w:val="00921990"/>
    <w:rsid w:val="00956D2F"/>
    <w:rsid w:val="009A5685"/>
    <w:rsid w:val="009D48DC"/>
    <w:rsid w:val="009E5784"/>
    <w:rsid w:val="00A45B31"/>
    <w:rsid w:val="00A87960"/>
    <w:rsid w:val="00B47D29"/>
    <w:rsid w:val="00B72AA9"/>
    <w:rsid w:val="00BA5853"/>
    <w:rsid w:val="00C34F1A"/>
    <w:rsid w:val="00C471A1"/>
    <w:rsid w:val="00C60935"/>
    <w:rsid w:val="00C65F09"/>
    <w:rsid w:val="00C6627E"/>
    <w:rsid w:val="00D153C1"/>
    <w:rsid w:val="00D2501B"/>
    <w:rsid w:val="00D33D8F"/>
    <w:rsid w:val="00D34D61"/>
    <w:rsid w:val="00D43CE6"/>
    <w:rsid w:val="00DA289F"/>
    <w:rsid w:val="00DB13BB"/>
    <w:rsid w:val="00E01818"/>
    <w:rsid w:val="00E0765F"/>
    <w:rsid w:val="00E25793"/>
    <w:rsid w:val="00E60C18"/>
    <w:rsid w:val="00E6208D"/>
    <w:rsid w:val="00EC0809"/>
    <w:rsid w:val="00F53553"/>
    <w:rsid w:val="026B117B"/>
    <w:rsid w:val="04C07E5F"/>
    <w:rsid w:val="06D01345"/>
    <w:rsid w:val="08246BD0"/>
    <w:rsid w:val="0DD16F1A"/>
    <w:rsid w:val="122F2667"/>
    <w:rsid w:val="1626244B"/>
    <w:rsid w:val="19560A59"/>
    <w:rsid w:val="1C062742"/>
    <w:rsid w:val="1C496371"/>
    <w:rsid w:val="1C5D2A39"/>
    <w:rsid w:val="1C8F2AE8"/>
    <w:rsid w:val="1FFE67CB"/>
    <w:rsid w:val="21785B44"/>
    <w:rsid w:val="2375417F"/>
    <w:rsid w:val="25486BE3"/>
    <w:rsid w:val="26A93DBD"/>
    <w:rsid w:val="27307EC4"/>
    <w:rsid w:val="27F03E2A"/>
    <w:rsid w:val="28716ED4"/>
    <w:rsid w:val="28E8704B"/>
    <w:rsid w:val="290C75C1"/>
    <w:rsid w:val="297C7D06"/>
    <w:rsid w:val="29D47C5C"/>
    <w:rsid w:val="2A4822AF"/>
    <w:rsid w:val="2C7D50CC"/>
    <w:rsid w:val="2E8D617B"/>
    <w:rsid w:val="32777821"/>
    <w:rsid w:val="334308AF"/>
    <w:rsid w:val="38C501C8"/>
    <w:rsid w:val="39AE61CA"/>
    <w:rsid w:val="3C4F1CAB"/>
    <w:rsid w:val="3D910776"/>
    <w:rsid w:val="3DC4168B"/>
    <w:rsid w:val="3DF23407"/>
    <w:rsid w:val="3EA017DC"/>
    <w:rsid w:val="3FBD419A"/>
    <w:rsid w:val="419C0824"/>
    <w:rsid w:val="4228602D"/>
    <w:rsid w:val="42335C28"/>
    <w:rsid w:val="425E3225"/>
    <w:rsid w:val="44244964"/>
    <w:rsid w:val="444B4611"/>
    <w:rsid w:val="455B3491"/>
    <w:rsid w:val="49094950"/>
    <w:rsid w:val="4BCB5DD0"/>
    <w:rsid w:val="4EC937F4"/>
    <w:rsid w:val="4EEF2F58"/>
    <w:rsid w:val="4FB8342C"/>
    <w:rsid w:val="52DF6C8B"/>
    <w:rsid w:val="536B2CB8"/>
    <w:rsid w:val="57404164"/>
    <w:rsid w:val="576B5048"/>
    <w:rsid w:val="5AA17B99"/>
    <w:rsid w:val="5AD277FB"/>
    <w:rsid w:val="5C24341D"/>
    <w:rsid w:val="5E145AF2"/>
    <w:rsid w:val="5E830FE3"/>
    <w:rsid w:val="5F412942"/>
    <w:rsid w:val="5FA47421"/>
    <w:rsid w:val="60785E58"/>
    <w:rsid w:val="61B5226F"/>
    <w:rsid w:val="655D0199"/>
    <w:rsid w:val="66792F89"/>
    <w:rsid w:val="66EC3CFC"/>
    <w:rsid w:val="692A1D76"/>
    <w:rsid w:val="6A5519A2"/>
    <w:rsid w:val="6C305B70"/>
    <w:rsid w:val="6CDE381E"/>
    <w:rsid w:val="6D8C75E7"/>
    <w:rsid w:val="6E19256C"/>
    <w:rsid w:val="6F386241"/>
    <w:rsid w:val="6F481423"/>
    <w:rsid w:val="71D022E5"/>
    <w:rsid w:val="72DC21B0"/>
    <w:rsid w:val="73E963DB"/>
    <w:rsid w:val="75D26FF0"/>
    <w:rsid w:val="75EB3B8E"/>
    <w:rsid w:val="799E25E1"/>
    <w:rsid w:val="7ACE35B6"/>
    <w:rsid w:val="7D0F6E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semiHidden/>
    <w:unhideWhenUsed/>
    <w:qFormat/>
    <w:uiPriority w:val="0"/>
    <w:rPr>
      <w:sz w:val="18"/>
      <w:szCs w:val="18"/>
    </w:rPr>
  </w:style>
  <w:style w:type="paragraph" w:styleId="3">
    <w:name w:val="footer"/>
    <w:basedOn w:val="1"/>
    <w:link w:val="8"/>
    <w:autoRedefine/>
    <w:qFormat/>
    <w:uiPriority w:val="0"/>
    <w:pPr>
      <w:tabs>
        <w:tab w:val="center" w:pos="4153"/>
        <w:tab w:val="right" w:pos="8306"/>
      </w:tabs>
      <w:snapToGrid w:val="0"/>
      <w:jc w:val="left"/>
    </w:pPr>
    <w:rPr>
      <w:sz w:val="18"/>
      <w:szCs w:val="18"/>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heme="minorHAnsi" w:hAnsiTheme="minorHAnsi" w:eastAsiaTheme="minorEastAsia" w:cstheme="minorBidi"/>
      <w:kern w:val="2"/>
      <w:sz w:val="18"/>
      <w:szCs w:val="18"/>
    </w:rPr>
  </w:style>
  <w:style w:type="character" w:customStyle="1" w:styleId="8">
    <w:name w:val="页脚 Char"/>
    <w:basedOn w:val="6"/>
    <w:link w:val="3"/>
    <w:autoRedefine/>
    <w:qFormat/>
    <w:uiPriority w:val="0"/>
    <w:rPr>
      <w:rFonts w:asciiTheme="minorHAnsi" w:hAnsiTheme="minorHAnsi" w:eastAsiaTheme="minorEastAsia" w:cstheme="minorBidi"/>
      <w:kern w:val="2"/>
      <w:sz w:val="18"/>
      <w:szCs w:val="18"/>
    </w:rPr>
  </w:style>
  <w:style w:type="character" w:customStyle="1" w:styleId="9">
    <w:name w:val="批注框文本 Char"/>
    <w:basedOn w:val="6"/>
    <w:link w:val="2"/>
    <w:autoRedefine/>
    <w:semiHidden/>
    <w:qFormat/>
    <w:uiPriority w:val="0"/>
    <w:rPr>
      <w:rFonts w:asciiTheme="minorHAnsi" w:hAnsiTheme="minorHAnsi" w:eastAsiaTheme="minorEastAsia" w:cstheme="minorBidi"/>
      <w:kern w:val="2"/>
      <w:sz w:val="18"/>
      <w:szCs w:val="18"/>
    </w:rPr>
  </w:style>
  <w:style w:type="paragraph" w:customStyle="1" w:styleId="10">
    <w:name w:val="正文1"/>
    <w:autoRedefine/>
    <w:qFormat/>
    <w:uiPriority w:val="0"/>
    <w:pPr>
      <w:framePr w:wrap="around" w:vAnchor="margin" w:hAnchor="text" w:y="1"/>
    </w:pPr>
    <w:rPr>
      <w:rFonts w:hint="eastAsia" w:ascii="Arial Unicode MS" w:hAnsi="Arial Unicode MS" w:eastAsia="Helvetica Neue" w:cs="Arial Unicode MS"/>
      <w:color w:val="000000"/>
      <w:sz w:val="22"/>
      <w:szCs w:val="22"/>
      <w:lang w:val="zh-CN" w:eastAsia="zh-CN" w:bidi="ar-SA"/>
    </w:rPr>
  </w:style>
  <w:style w:type="paragraph" w:customStyle="1" w:styleId="11">
    <w:name w:val="默认"/>
    <w:qFormat/>
    <w:uiPriority w:val="0"/>
    <w:pPr>
      <w:framePr w:wrap="around" w:vAnchor="margin" w:hAnchor="text" w:y="1"/>
      <w:spacing w:before="160"/>
    </w:pPr>
    <w:rPr>
      <w:rFonts w:hint="eastAsia" w:ascii="Arial Unicode MS" w:hAnsi="Arial Unicode MS" w:eastAsia="Helvetica Neue" w:cs="Arial Unicode MS"/>
      <w:color w:val="000000"/>
      <w:sz w:val="24"/>
      <w:szCs w:val="24"/>
      <w:lang w:val="zh-CN" w:eastAsia="zh-CN" w:bidi="ar-SA"/>
    </w:rPr>
  </w:style>
  <w:style w:type="character" w:customStyle="1" w:styleId="12">
    <w:name w:val="font11"/>
    <w:basedOn w:val="6"/>
    <w:qFormat/>
    <w:uiPriority w:val="0"/>
    <w:rPr>
      <w:rFonts w:hint="eastAsia" w:ascii="宋体" w:hAnsi="宋体" w:eastAsia="宋体" w:cs="宋体"/>
      <w:color w:val="000000"/>
      <w:sz w:val="22"/>
      <w:szCs w:val="22"/>
      <w:u w:val="none"/>
    </w:rPr>
  </w:style>
  <w:style w:type="character" w:customStyle="1" w:styleId="13">
    <w:name w:val="font21"/>
    <w:basedOn w:val="6"/>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895</Words>
  <Characters>1159</Characters>
  <Lines>8</Lines>
  <Paragraphs>2</Paragraphs>
  <TotalTime>13</TotalTime>
  <ScaleCrop>false</ScaleCrop>
  <LinksUpToDate>false</LinksUpToDate>
  <CharactersWithSpaces>1225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2022-04-28T01:22:00Z</dcterms:created>
  <dc:creator>Mr.X</dc:creator>
  <cp:lastModifiedBy>  阿伦  </cp:lastModifiedBy>
  <cp:lastPrinted>2022-04-28T02:25:00Z</cp:lastPrinted>
  <dcterms:modified xsi:type="dcterms:W3CDTF">2025-04-27T07:20:57Z</dcterms:modified>
  <cp:revision>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46431C416B6C47AEB559E909CCA891F7_13</vt:lpwstr>
  </property>
  <property fmtid="{D5CDD505-2E9C-101B-9397-08002B2CF9AE}" pid="4" name="commondata">
    <vt:lpwstr>eyJoZGlkIjoiMzIxYmMwMDJkYjZiMmFlYzdhY2YzYTliOWFhN2UxMzIifQ==</vt:lpwstr>
  </property>
  <property fmtid="{D5CDD505-2E9C-101B-9397-08002B2CF9AE}" pid="5" name="KSOTemplateDocerSaveRecord">
    <vt:lpwstr>eyJoZGlkIjoiYjc4MWU4MDlhMzQwYjQ3YmVjOWEzYmIzMGZmZTk2NTAiLCJ1c2VySWQiOiI2MjczODE3NzMifQ==</vt:lpwstr>
  </property>
</Properties>
</file>