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4A44B2">
      <w:pPr>
        <w:pStyle w:val="2"/>
        <w:spacing w:line="700" w:lineRule="exact"/>
        <w:jc w:val="center"/>
        <w:rPr>
          <w:rFonts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山东公用热电集团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有限公司</w:t>
      </w:r>
    </w:p>
    <w:p w14:paraId="2FC282AB">
      <w:pPr>
        <w:pStyle w:val="2"/>
        <w:spacing w:line="700" w:lineRule="exact"/>
        <w:jc w:val="center"/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</w:pPr>
      <w:r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  <w:t>202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5</w:t>
      </w:r>
      <w:r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  <w:t>年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一</w:t>
      </w:r>
      <w:r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  <w:t>季度财务等重大信息公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/>
        </w:rPr>
        <w:t>开</w:t>
      </w:r>
    </w:p>
    <w:p w14:paraId="61773740">
      <w:pPr>
        <w:pStyle w:val="2"/>
        <w:spacing w:line="700" w:lineRule="exact"/>
        <w:jc w:val="center"/>
        <w:rPr>
          <w:rFonts w:ascii="方正小标宋简体" w:hAnsi="方正小标宋简体" w:eastAsia="方正小标宋简体" w:cs="方正小标宋简体"/>
          <w:b/>
          <w:bCs/>
          <w:sz w:val="44"/>
          <w:szCs w:val="44"/>
          <w:lang w:val="en-US"/>
        </w:rPr>
      </w:pPr>
    </w:p>
    <w:p w14:paraId="642D7575">
      <w:pPr>
        <w:pStyle w:val="2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ascii="方正黑体简体" w:hAnsi="方正黑体简体" w:eastAsia="方正黑体简体" w:cs="方正黑体简体"/>
          <w:b/>
          <w:bCs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bCs/>
          <w:lang w:val="en-US"/>
        </w:rPr>
        <w:t>公司基本情况</w:t>
      </w:r>
    </w:p>
    <w:p w14:paraId="5E4C996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ascii="方正楷体简体" w:hAnsi="方正楷体简体" w:eastAsia="方正楷体简体" w:cs="方正楷体简体"/>
          <w:b/>
          <w:bCs/>
          <w:lang w:val="en-US"/>
        </w:rPr>
      </w:pPr>
      <w:r>
        <w:rPr>
          <w:rFonts w:hint="eastAsia" w:ascii="方正楷体简体" w:hAnsi="方正楷体简体" w:eastAsia="方正楷体简体" w:cs="方正楷体简体"/>
          <w:b/>
          <w:bCs/>
          <w:lang w:val="en-US"/>
        </w:rPr>
        <w:t>（一）基本信息</w:t>
      </w:r>
    </w:p>
    <w:p w14:paraId="32AFD0C9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1.名    称：</w:t>
      </w:r>
      <w:r>
        <w:rPr>
          <w:rFonts w:hint="eastAsia" w:ascii="Times New Roman" w:hAnsi="Times New Roman" w:eastAsia="方正仿宋简体" w:cs="Times New Roman"/>
          <w:b/>
          <w:bCs/>
          <w:lang w:val="en-US"/>
        </w:rPr>
        <w:t>山东公用热电集团有限公司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 xml:space="preserve"> </w:t>
      </w:r>
    </w:p>
    <w:p w14:paraId="15BD5009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2.企业类型：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国有独资</w:t>
      </w:r>
    </w:p>
    <w:p w14:paraId="6824B45A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3.成立日期：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2019年8月21日</w:t>
      </w:r>
    </w:p>
    <w:p w14:paraId="658FE50D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4.法定代表人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：杨勇</w:t>
      </w:r>
    </w:p>
    <w:p w14:paraId="2FF30673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5.注册地址：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山东省济宁市任城区红星东路23号</w:t>
      </w:r>
    </w:p>
    <w:p w14:paraId="1577AC37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6.经营范围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：热力生产和供应；电力生产和供应；热电联产集中供热；供热工程设计及安装维修；售电服务；太阳能、风能、地热能、冰（水）蓄能、生物质能、分布式能源等新能源利用系统的设计、建设、运营、管理及维护等；合同能源管理；绿色建筑、新能源、新节能技术咨询、服务。</w:t>
      </w:r>
    </w:p>
    <w:p w14:paraId="0EAA7F3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方正楷体简体" w:hAnsi="方正楷体简体" w:eastAsia="方正楷体简体" w:cs="方正楷体简体"/>
          <w:b/>
          <w:bCs/>
          <w:lang w:val="en-US"/>
        </w:rPr>
      </w:pPr>
      <w:r>
        <w:rPr>
          <w:rFonts w:hint="eastAsia" w:ascii="方正楷体简体" w:hAnsi="方正楷体简体" w:eastAsia="方正楷体简体" w:cs="方正楷体简体"/>
          <w:b/>
          <w:bCs/>
          <w:lang w:val="en-US"/>
        </w:rPr>
        <w:t>（二）公司简介</w:t>
      </w:r>
    </w:p>
    <w:p w14:paraId="20540223">
      <w:pPr>
        <w:keepNext w:val="0"/>
        <w:keepLines w:val="0"/>
        <w:pageBreakBefore w:val="0"/>
        <w:widowControl w:val="0"/>
        <w:tabs>
          <w:tab w:val="left" w:pos="666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30" w:firstLineChars="196"/>
        <w:textAlignment w:val="auto"/>
        <w:rPr>
          <w:rFonts w:hint="eastAsia" w:ascii="方正楷体简体" w:hAnsi="方正楷体简体" w:eastAsia="方正楷体简体" w:cs="方正楷体简体"/>
          <w:b/>
          <w:bCs/>
          <w:lang w:val="en-US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 w:bidi="zh-CN"/>
        </w:rPr>
        <w:t>山东公用热电集团有限公司成立于2019年8月，隶属于山东公用控股有限公司，注册资本金5亿元人民币，是集热电联产、城市供热运营服务、新能源开发利用于一体的综合性国有企业。</w:t>
      </w:r>
    </w:p>
    <w:p w14:paraId="6BC60CCC">
      <w:pPr>
        <w:pStyle w:val="2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ascii="方正黑体简体" w:hAnsi="方正黑体简体" w:eastAsia="方正黑体简体" w:cs="方正黑体简体"/>
          <w:b/>
          <w:bCs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bCs/>
          <w:lang w:val="en-US"/>
        </w:rPr>
        <w:t>主要会计数据和财务指标</w:t>
      </w:r>
    </w:p>
    <w:p w14:paraId="120E6282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jc w:val="center"/>
        <w:textAlignment w:val="auto"/>
        <w:rPr>
          <w:rFonts w:ascii="方正黑体简体" w:hAnsi="方正黑体简体" w:eastAsia="方正黑体简体" w:cs="方正黑体简体"/>
          <w:b/>
          <w:bCs/>
          <w:highlight w:val="none"/>
          <w:lang w:val="en-US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 w:bidi="zh-CN"/>
        </w:rPr>
        <w:t>2025</w:t>
      </w:r>
      <w:r>
        <w:rPr>
          <w:rFonts w:ascii="Times New Roman" w:hAnsi="Times New Roman" w:eastAsia="方正黑体简体" w:cs="Times New Roman"/>
          <w:b/>
          <w:bCs/>
          <w:highlight w:val="none"/>
          <w:lang w:val="en-US"/>
        </w:rPr>
        <w:t>年</w:t>
      </w:r>
      <w:r>
        <w:rPr>
          <w:rFonts w:hint="eastAsia" w:ascii="Times New Roman" w:hAnsi="Times New Roman" w:eastAsia="方正黑体简体" w:cs="Times New Roman"/>
          <w:b/>
          <w:bCs/>
          <w:highlight w:val="none"/>
          <w:lang w:val="en-US" w:eastAsia="zh-CN"/>
        </w:rPr>
        <w:t>第一</w:t>
      </w:r>
      <w:r>
        <w:rPr>
          <w:rFonts w:hint="eastAsia" w:ascii="Times New Roman" w:hAnsi="Times New Roman" w:eastAsia="方正黑体简体" w:cs="Times New Roman"/>
          <w:b/>
          <w:bCs/>
          <w:highlight w:val="none"/>
          <w:lang w:val="en-US"/>
        </w:rPr>
        <w:t>季度</w:t>
      </w:r>
      <w:r>
        <w:rPr>
          <w:rFonts w:ascii="Times New Roman" w:hAnsi="Times New Roman" w:eastAsia="方正黑体简体" w:cs="Times New Roman"/>
          <w:b/>
          <w:bCs/>
          <w:highlight w:val="none"/>
          <w:lang w:val="en-US"/>
        </w:rPr>
        <w:t>主要财务数据</w:t>
      </w:r>
    </w:p>
    <w:p w14:paraId="3D6E8A55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5722" w:firstLineChars="1900"/>
        <w:jc w:val="both"/>
        <w:textAlignment w:val="auto"/>
        <w:rPr>
          <w:rFonts w:ascii="方正楷体简体" w:hAnsi="方正楷体简体" w:eastAsia="方正楷体简体" w:cs="方正楷体简体"/>
          <w:b/>
          <w:bCs/>
          <w:sz w:val="30"/>
          <w:szCs w:val="30"/>
          <w:highlight w:val="none"/>
          <w:lang w:val="en-US"/>
        </w:rPr>
      </w:pPr>
      <w:r>
        <w:rPr>
          <w:rFonts w:hint="eastAsia" w:ascii="方正楷体简体" w:hAnsi="方正楷体简体" w:eastAsia="方正楷体简体" w:cs="方正楷体简体"/>
          <w:b/>
          <w:bCs/>
          <w:sz w:val="30"/>
          <w:szCs w:val="30"/>
          <w:highlight w:val="none"/>
          <w:lang w:val="en-US"/>
        </w:rPr>
        <w:t>单位：人民币万元</w:t>
      </w: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89"/>
        <w:gridCol w:w="3561"/>
      </w:tblGrid>
      <w:tr w14:paraId="792065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4089" w:type="dxa"/>
          </w:tcPr>
          <w:p w14:paraId="64E59653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  <w:t>项  目</w:t>
            </w:r>
          </w:p>
        </w:tc>
        <w:tc>
          <w:tcPr>
            <w:tcW w:w="3561" w:type="dxa"/>
          </w:tcPr>
          <w:p w14:paraId="62B8D519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  <w:t>本期金额</w:t>
            </w:r>
          </w:p>
        </w:tc>
      </w:tr>
      <w:tr w14:paraId="5927E2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4089" w:type="dxa"/>
          </w:tcPr>
          <w:p w14:paraId="3B5523B7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营业总收入</w:t>
            </w:r>
          </w:p>
        </w:tc>
        <w:tc>
          <w:tcPr>
            <w:tcW w:w="3561" w:type="dxa"/>
          </w:tcPr>
          <w:p w14:paraId="12A62639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63,858</w:t>
            </w:r>
          </w:p>
        </w:tc>
      </w:tr>
      <w:tr w14:paraId="3C25B4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4089" w:type="dxa"/>
          </w:tcPr>
          <w:p w14:paraId="1BF11DEA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营业总成本</w:t>
            </w:r>
          </w:p>
        </w:tc>
        <w:tc>
          <w:tcPr>
            <w:tcW w:w="3561" w:type="dxa"/>
          </w:tcPr>
          <w:p w14:paraId="473C207B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60,652</w:t>
            </w:r>
          </w:p>
        </w:tc>
      </w:tr>
      <w:tr w14:paraId="5B7C1E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4089" w:type="dxa"/>
          </w:tcPr>
          <w:p w14:paraId="71BC9AAA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利润总额</w:t>
            </w:r>
          </w:p>
        </w:tc>
        <w:tc>
          <w:tcPr>
            <w:tcW w:w="3561" w:type="dxa"/>
          </w:tcPr>
          <w:p w14:paraId="6622B534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4,958</w:t>
            </w:r>
          </w:p>
        </w:tc>
      </w:tr>
      <w:tr w14:paraId="574BFB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4089" w:type="dxa"/>
          </w:tcPr>
          <w:p w14:paraId="459D76D5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黑体简体" w:hAnsi="方正黑体简体" w:eastAsia="方正黑体简体" w:cs="方正黑体简体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净利润</w:t>
            </w:r>
          </w:p>
        </w:tc>
        <w:tc>
          <w:tcPr>
            <w:tcW w:w="3561" w:type="dxa"/>
          </w:tcPr>
          <w:p w14:paraId="0EF408E2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方正黑体简体" w:hAnsi="方正黑体简体" w:eastAsia="方正黑体简体" w:cs="方正黑体简体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3,763</w:t>
            </w:r>
          </w:p>
        </w:tc>
      </w:tr>
      <w:tr w14:paraId="78BF6E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4089" w:type="dxa"/>
          </w:tcPr>
          <w:p w14:paraId="520E7947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资产总额</w:t>
            </w:r>
          </w:p>
        </w:tc>
        <w:tc>
          <w:tcPr>
            <w:tcW w:w="3561" w:type="dxa"/>
          </w:tcPr>
          <w:p w14:paraId="301A4D65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589,050</w:t>
            </w:r>
          </w:p>
        </w:tc>
      </w:tr>
      <w:tr w14:paraId="1C61BB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4089" w:type="dxa"/>
          </w:tcPr>
          <w:p w14:paraId="49FB6AB3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负债总额</w:t>
            </w:r>
          </w:p>
        </w:tc>
        <w:tc>
          <w:tcPr>
            <w:tcW w:w="3561" w:type="dxa"/>
          </w:tcPr>
          <w:p w14:paraId="51EA10A8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462,268</w:t>
            </w:r>
          </w:p>
        </w:tc>
      </w:tr>
      <w:tr w14:paraId="780BA6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4089" w:type="dxa"/>
          </w:tcPr>
          <w:p w14:paraId="334382EA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所有者权益</w:t>
            </w:r>
          </w:p>
        </w:tc>
        <w:tc>
          <w:tcPr>
            <w:tcW w:w="3561" w:type="dxa"/>
          </w:tcPr>
          <w:p w14:paraId="708CB556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126,782</w:t>
            </w:r>
          </w:p>
        </w:tc>
      </w:tr>
    </w:tbl>
    <w:p w14:paraId="069086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textAlignment w:val="auto"/>
        <w:rPr>
          <w:rFonts w:ascii="方正黑体简体" w:hAnsi="方正黑体简体" w:eastAsia="方正黑体简体" w:cs="方正黑体简体"/>
          <w:b/>
          <w:sz w:val="32"/>
          <w:szCs w:val="32"/>
          <w:highlight w:val="none"/>
          <w:lang w:val="en-US"/>
        </w:rPr>
      </w:pPr>
      <w:bookmarkStart w:id="0" w:name="_GoBack"/>
      <w:bookmarkEnd w:id="0"/>
      <w:r>
        <w:rPr>
          <w:rFonts w:hint="eastAsia" w:ascii="方正黑体简体" w:hAnsi="方正黑体简体" w:eastAsia="方正黑体简体" w:cs="方正黑体简体"/>
          <w:b/>
          <w:sz w:val="32"/>
          <w:szCs w:val="32"/>
          <w:highlight w:val="none"/>
          <w:lang w:val="en-US"/>
        </w:rPr>
        <w:t>三、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highlight w:val="none"/>
        </w:rPr>
        <w:t>财务预算执行情况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highlight w:val="none"/>
          <w:lang w:val="en-US"/>
        </w:rPr>
        <w:t xml:space="preserve">   </w:t>
      </w:r>
    </w:p>
    <w:p w14:paraId="22932F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方正仿宋简体" w:cs="Times New Roman"/>
          <w:b/>
          <w:bCs/>
          <w:color w:val="000000"/>
          <w:sz w:val="32"/>
          <w:szCs w:val="32"/>
          <w:highlight w:val="none"/>
          <w:lang w:val="en-US" w:eastAsia="zh-CN" w:bidi="ar-SA"/>
        </w:rPr>
        <w:t>热电集团第一季度预算营业总收入32,643万元，实际完成率195.6%；第一季度预算利润总额2,266万元，实际完成率218.8%。</w:t>
      </w:r>
    </w:p>
    <w:p w14:paraId="2B89EC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textAlignment w:val="auto"/>
        <w:rPr>
          <w:rFonts w:ascii="方正黑体简体" w:hAnsi="方正黑体简体" w:eastAsia="方正黑体简体" w:cs="方正黑体简体"/>
          <w:b/>
          <w:sz w:val="32"/>
          <w:szCs w:val="32"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/>
        </w:rPr>
        <w:t>四、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 w:eastAsia="zh-CN"/>
        </w:rPr>
        <w:t>一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/>
        </w:rPr>
        <w:t>季度内重大事项及对企业的影响</w:t>
      </w:r>
    </w:p>
    <w:p w14:paraId="1DFB7D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Times New Roman" w:hAnsi="Times New Roman" w:eastAsia="方正仿宋简体" w:cs="Times New Roman"/>
          <w:b/>
          <w:bCs/>
          <w:color w:val="000000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方正仿宋简体" w:cs="Times New Roman"/>
          <w:b/>
          <w:bCs/>
          <w:color w:val="000000"/>
          <w:sz w:val="32"/>
          <w:szCs w:val="32"/>
          <w:highlight w:val="none"/>
          <w:lang w:val="en-US" w:eastAsia="zh-CN" w:bidi="ar-SA"/>
        </w:rPr>
        <w:t>无</w:t>
      </w:r>
    </w:p>
    <w:p w14:paraId="039A1D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0" w:firstLineChars="200"/>
        <w:textAlignment w:val="auto"/>
        <w:rPr>
          <w:rFonts w:ascii="方正黑体简体" w:hAnsi="方正黑体简体" w:eastAsia="方正黑体简体" w:cs="方正黑体简体"/>
          <w:sz w:val="32"/>
          <w:szCs w:val="32"/>
          <w:highlight w:val="yellow"/>
          <w:lang w:val="en-US"/>
        </w:rPr>
      </w:pPr>
    </w:p>
    <w:p w14:paraId="506CDF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textAlignment w:val="auto"/>
        <w:rPr>
          <w:highlight w:val="yellow"/>
          <w:lang w:val="en-US"/>
        </w:rPr>
      </w:pPr>
    </w:p>
    <w:p w14:paraId="7149DB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4498" w:firstLineChars="1400"/>
        <w:jc w:val="both"/>
        <w:textAlignment w:val="auto"/>
        <w:rPr>
          <w:rFonts w:ascii="Times New Roman" w:hAnsi="Times New Roman" w:eastAsia="方正仿宋简体" w:cs="Times New Roman"/>
          <w:b/>
          <w:bCs/>
          <w:sz w:val="32"/>
          <w:szCs w:val="32"/>
          <w:lang w:val="en-US"/>
        </w:rPr>
      </w:pPr>
    </w:p>
    <w:p w14:paraId="14520D8A">
      <w:pPr>
        <w:widowControl/>
        <w:autoSpaceDE/>
        <w:autoSpaceDN/>
        <w:jc w:val="center"/>
        <w:rPr>
          <w:rFonts w:ascii="Times New Roman" w:hAnsi="Times New Roman" w:eastAsia="方正仿宋简体" w:cs="Times New Roman"/>
          <w:b/>
          <w:bCs/>
          <w:sz w:val="32"/>
          <w:szCs w:val="32"/>
          <w:lang w:val="en-US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1" w:fontKey="{D3A430A9-C9E0-4704-B51F-824021DCDD8D}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999A5FB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9B77BE5">
                          <w:pPr>
                            <w:pStyle w:val="3"/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9B77BE5">
                    <w:pPr>
                      <w:pStyle w:val="3"/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3CE7D2F"/>
    <w:multiLevelType w:val="singleLevel"/>
    <w:tmpl w:val="D3CE7D2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ZlMTkxYzAzYTA1YjE1MjM4OWUyMDQyMzNmOGVlN2IifQ=="/>
  </w:docVars>
  <w:rsids>
    <w:rsidRoot w:val="00AB01EA"/>
    <w:rsid w:val="00015A87"/>
    <w:rsid w:val="000168AA"/>
    <w:rsid w:val="000A0544"/>
    <w:rsid w:val="000D614C"/>
    <w:rsid w:val="00151E71"/>
    <w:rsid w:val="002135C1"/>
    <w:rsid w:val="00271CDE"/>
    <w:rsid w:val="00300466"/>
    <w:rsid w:val="003152D1"/>
    <w:rsid w:val="00333F66"/>
    <w:rsid w:val="003510F1"/>
    <w:rsid w:val="00384B44"/>
    <w:rsid w:val="004055A1"/>
    <w:rsid w:val="00474979"/>
    <w:rsid w:val="00480385"/>
    <w:rsid w:val="004D1F6D"/>
    <w:rsid w:val="0050064C"/>
    <w:rsid w:val="005571EB"/>
    <w:rsid w:val="005600CB"/>
    <w:rsid w:val="005A15E0"/>
    <w:rsid w:val="006448B5"/>
    <w:rsid w:val="00667382"/>
    <w:rsid w:val="006928AD"/>
    <w:rsid w:val="00693743"/>
    <w:rsid w:val="006B7A98"/>
    <w:rsid w:val="00702DC4"/>
    <w:rsid w:val="00710A95"/>
    <w:rsid w:val="007209DF"/>
    <w:rsid w:val="007A0DD0"/>
    <w:rsid w:val="007A5A03"/>
    <w:rsid w:val="007A7033"/>
    <w:rsid w:val="007E6DD0"/>
    <w:rsid w:val="008001A9"/>
    <w:rsid w:val="00806BE9"/>
    <w:rsid w:val="0084329B"/>
    <w:rsid w:val="008A74B2"/>
    <w:rsid w:val="008D33C1"/>
    <w:rsid w:val="008F345A"/>
    <w:rsid w:val="0091505B"/>
    <w:rsid w:val="009C4B22"/>
    <w:rsid w:val="00A24713"/>
    <w:rsid w:val="00A26E02"/>
    <w:rsid w:val="00AA3DFD"/>
    <w:rsid w:val="00AB01EA"/>
    <w:rsid w:val="00AB3601"/>
    <w:rsid w:val="00AC59A2"/>
    <w:rsid w:val="00AD0180"/>
    <w:rsid w:val="00AE7C83"/>
    <w:rsid w:val="00B078E2"/>
    <w:rsid w:val="00B15769"/>
    <w:rsid w:val="00B860E7"/>
    <w:rsid w:val="00BA25C7"/>
    <w:rsid w:val="00BD36F7"/>
    <w:rsid w:val="00BD7A30"/>
    <w:rsid w:val="00C26DCF"/>
    <w:rsid w:val="00C27E86"/>
    <w:rsid w:val="00C82BDE"/>
    <w:rsid w:val="00CA3314"/>
    <w:rsid w:val="00CB4B86"/>
    <w:rsid w:val="00CC02D6"/>
    <w:rsid w:val="00CC7327"/>
    <w:rsid w:val="00D74B7C"/>
    <w:rsid w:val="00DD5062"/>
    <w:rsid w:val="00DE29BB"/>
    <w:rsid w:val="00E05E9E"/>
    <w:rsid w:val="00E82D5D"/>
    <w:rsid w:val="00E97D11"/>
    <w:rsid w:val="00EA367A"/>
    <w:rsid w:val="00EF29D3"/>
    <w:rsid w:val="00F21D3D"/>
    <w:rsid w:val="00F50061"/>
    <w:rsid w:val="00F75FEA"/>
    <w:rsid w:val="0BAA1044"/>
    <w:rsid w:val="0C1300BA"/>
    <w:rsid w:val="0C825E98"/>
    <w:rsid w:val="11D529E3"/>
    <w:rsid w:val="13B862C8"/>
    <w:rsid w:val="14D830A2"/>
    <w:rsid w:val="16DB2490"/>
    <w:rsid w:val="17303DFB"/>
    <w:rsid w:val="1ADC4576"/>
    <w:rsid w:val="208262A6"/>
    <w:rsid w:val="2AB96756"/>
    <w:rsid w:val="2D2A27C3"/>
    <w:rsid w:val="2E9539DE"/>
    <w:rsid w:val="31117233"/>
    <w:rsid w:val="32DA0AFB"/>
    <w:rsid w:val="34833A65"/>
    <w:rsid w:val="359C4116"/>
    <w:rsid w:val="365668DF"/>
    <w:rsid w:val="3ADE08F5"/>
    <w:rsid w:val="3B0764C2"/>
    <w:rsid w:val="3EB218E1"/>
    <w:rsid w:val="40BD03D8"/>
    <w:rsid w:val="46625A9C"/>
    <w:rsid w:val="4D663EEA"/>
    <w:rsid w:val="55CB7535"/>
    <w:rsid w:val="5D195C77"/>
    <w:rsid w:val="5E5E5DDC"/>
    <w:rsid w:val="663C74B6"/>
    <w:rsid w:val="67C52FC9"/>
    <w:rsid w:val="6A9E4A45"/>
    <w:rsid w:val="6D316FBD"/>
    <w:rsid w:val="6F4A2487"/>
    <w:rsid w:val="71096180"/>
    <w:rsid w:val="73A033E2"/>
    <w:rsid w:val="73FE1D6C"/>
    <w:rsid w:val="76323B4E"/>
    <w:rsid w:val="7D034B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0"/>
    <w:qFormat/>
    <w:uiPriority w:val="1"/>
    <w:rPr>
      <w:sz w:val="32"/>
      <w:szCs w:val="32"/>
    </w:rPr>
  </w:style>
  <w:style w:type="paragraph" w:styleId="3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Title"/>
    <w:basedOn w:val="1"/>
    <w:next w:val="1"/>
    <w:qFormat/>
    <w:uiPriority w:val="0"/>
    <w:pPr>
      <w:keepLines/>
      <w:pageBreakBefore/>
      <w:spacing w:before="240" w:after="120"/>
      <w:jc w:val="center"/>
      <w:outlineLvl w:val="0"/>
    </w:pPr>
    <w:rPr>
      <w:rFonts w:eastAsia="黑体"/>
      <w:b/>
      <w:sz w:val="36"/>
    </w:rPr>
  </w:style>
  <w:style w:type="table" w:styleId="7">
    <w:name w:val="Table Grid"/>
    <w:basedOn w:val="6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9">
    <w:name w:val="Table Normal"/>
    <w:semiHidden/>
    <w:unhideWhenUsed/>
    <w:qFormat/>
    <w:uiPriority w:val="2"/>
    <w:pPr>
      <w:widowControl w:val="0"/>
      <w:autoSpaceDE w:val="0"/>
      <w:autoSpaceDN w:val="0"/>
    </w:pPr>
    <w:rPr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0">
    <w:name w:val="正文文本 字符"/>
    <w:basedOn w:val="8"/>
    <w:link w:val="2"/>
    <w:qFormat/>
    <w:uiPriority w:val="1"/>
    <w:rPr>
      <w:rFonts w:ascii="宋体" w:hAnsi="宋体" w:eastAsia="宋体" w:cs="宋体"/>
      <w:kern w:val="0"/>
      <w:sz w:val="32"/>
      <w:szCs w:val="32"/>
      <w:lang w:val="zh-CN" w:bidi="zh-CN"/>
    </w:rPr>
  </w:style>
  <w:style w:type="paragraph" w:customStyle="1" w:styleId="11">
    <w:name w:val="Table Paragraph"/>
    <w:basedOn w:val="1"/>
    <w:qFormat/>
    <w:uiPriority w:val="1"/>
    <w:pPr>
      <w:spacing w:before="96"/>
      <w:jc w:val="right"/>
    </w:pPr>
    <w:rPr>
      <w:rFonts w:ascii="仿宋" w:hAnsi="仿宋" w:eastAsia="仿宋" w:cs="仿宋"/>
    </w:rPr>
  </w:style>
  <w:style w:type="character" w:customStyle="1" w:styleId="12">
    <w:name w:val="页眉 字符"/>
    <w:basedOn w:val="8"/>
    <w:link w:val="4"/>
    <w:qFormat/>
    <w:uiPriority w:val="99"/>
    <w:rPr>
      <w:rFonts w:ascii="宋体" w:hAnsi="宋体" w:cs="宋体"/>
      <w:sz w:val="18"/>
      <w:szCs w:val="18"/>
      <w:lang w:val="zh-CN" w:bidi="zh-CN"/>
    </w:rPr>
  </w:style>
  <w:style w:type="character" w:customStyle="1" w:styleId="13">
    <w:name w:val="页脚 字符"/>
    <w:basedOn w:val="8"/>
    <w:link w:val="3"/>
    <w:qFormat/>
    <w:uiPriority w:val="99"/>
    <w:rPr>
      <w:rFonts w:ascii="宋体" w:hAnsi="宋体" w:cs="宋体"/>
      <w:sz w:val="18"/>
      <w:szCs w:val="18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472</Words>
  <Characters>547</Characters>
  <Lines>11</Lines>
  <Paragraphs>3</Paragraphs>
  <TotalTime>904</TotalTime>
  <ScaleCrop>false</ScaleCrop>
  <LinksUpToDate>false</LinksUpToDate>
  <CharactersWithSpaces>557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2023-10-26T09:09:00Z</dcterms:created>
  <dc:creator>lenovo</dc:creator>
  <cp:lastModifiedBy>张秀娟</cp:lastModifiedBy>
  <cp:lastPrinted>2022-08-29T09:18:00Z</cp:lastPrinted>
  <dcterms:modified xsi:type="dcterms:W3CDTF">2025-04-27T06:43:14Z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454D48EFBC4C4B249367B498AE3C92A4_13</vt:lpwstr>
  </property>
  <property fmtid="{D5CDD505-2E9C-101B-9397-08002B2CF9AE}" pid="4" name="KSOTemplateDocerSaveRecord">
    <vt:lpwstr>eyJoZGlkIjoiYjBhOTVmNmZhNTA0OThkYmM0YzcxYjE3ZDk0MjdlY2EifQ==</vt:lpwstr>
  </property>
</Properties>
</file>