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山东公用北湖污水处理有限公司</w:t>
      </w:r>
    </w:p>
    <w:p>
      <w:pPr>
        <w:snapToGrid w:val="0"/>
        <w:spacing w:line="640" w:lineRule="exact"/>
        <w:jc w:val="center"/>
        <w:rPr>
          <w:rFonts w:ascii="宋体" w:hAnsi="宋体" w:eastAsia="方正小标宋简体" w:cs="宋体"/>
          <w:sz w:val="24"/>
        </w:rPr>
      </w:pPr>
      <w:r>
        <w:rPr>
          <w:rFonts w:hint="eastAsia" w:ascii="方正小标宋简体" w:hAnsi="方正小标宋简体" w:eastAsia="方正小标宋简体" w:cs="方正小标宋简体"/>
          <w:b/>
          <w:bCs/>
          <w:sz w:val="44"/>
          <w:szCs w:val="44"/>
        </w:rPr>
        <w:t>2024年第三季度财务重大信息公开</w:t>
      </w:r>
    </w:p>
    <w:p>
      <w:pPr>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 xml:space="preserve"> </w:t>
      </w:r>
    </w:p>
    <w:p>
      <w:pPr>
        <w:snapToGrid w:val="0"/>
        <w:spacing w:line="560" w:lineRule="exact"/>
        <w:ind w:firstLine="643" w:firstLineChars="200"/>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 xml:space="preserve">一、公司基本情况 </w:t>
      </w:r>
    </w:p>
    <w:p>
      <w:pPr>
        <w:snapToGrid w:val="0"/>
        <w:spacing w:line="56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1.公司名称：山东公用北湖污水处理有限公司</w:t>
      </w:r>
    </w:p>
    <w:p>
      <w:pPr>
        <w:snapToGrid w:val="0"/>
        <w:spacing w:line="56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2.法定代表人：孙海滨</w:t>
      </w:r>
    </w:p>
    <w:p>
      <w:pPr>
        <w:snapToGrid w:val="0"/>
        <w:spacing w:line="56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3.注册地址：山东省济宁北湖省级旅游度假区许庄街道临菏路与237国道交叉口东800米</w:t>
      </w:r>
    </w:p>
    <w:p>
      <w:pPr>
        <w:snapToGrid w:val="0"/>
        <w:spacing w:line="56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4.经营范围：自来水生产与供应;施工专业作业;建筑劳务分包;建设工程施工;污水处理及其再生利用;建设工程设计。(依法须经批准的项目，经相关部门批准后方可开展经营活动，具体经营项目以相关部门批准文件或许可证件为准)</w:t>
      </w:r>
    </w:p>
    <w:p>
      <w:pPr>
        <w:snapToGrid w:val="0"/>
        <w:spacing w:line="56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 xml:space="preserve">一般项目:工程技术服务(规划管理、勘察、设计、监理除外);工程管理服务;工程和技术研究和试验发展;专业设计服务。(除依法须经批准的项目外，凭营业执照依法自主开展经营活动) </w:t>
      </w:r>
    </w:p>
    <w:p>
      <w:pPr>
        <w:spacing w:line="560" w:lineRule="exact"/>
        <w:ind w:firstLine="560"/>
        <w:jc w:val="left"/>
        <w:outlineLvl w:val="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 xml:space="preserve">5.公司简介: </w:t>
      </w:r>
    </w:p>
    <w:p>
      <w:pPr>
        <w:snapToGrid w:val="0"/>
        <w:spacing w:line="56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（1）基本情况</w:t>
      </w:r>
    </w:p>
    <w:p>
      <w:pPr>
        <w:snapToGrid w:val="0"/>
        <w:spacing w:line="56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山东公用北湖污水处理有限公司隶属于山东公用水务集团有限公司，是济宁市住建委批准的城市污水处理二级企业，被太白湖新区人民政府授予城区范围内污水处理30年特许经营权。公司处理工艺采用“A2O”生物处理+V型滤池过滤深度处理”，处理能力2万m3/d，2011年7月立项批准，2012年9月建设竣工，2013年2月调试运行，注册资本金8500万元，现有员工29人。</w:t>
      </w:r>
    </w:p>
    <w:p>
      <w:pPr>
        <w:snapToGrid w:val="0"/>
        <w:spacing w:line="56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（2）水质情况</w:t>
      </w:r>
    </w:p>
    <w:p>
      <w:pPr>
        <w:snapToGrid w:val="0"/>
        <w:spacing w:line="56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山东公用北湖污水处理有限公司是国家南水北调东线基础性工程之一，也是济宁市重点环保工程、生态工程和民心工程。运行以来，出水稳定达标排放，水质优于《城镇污水处理厂污染物排放标准》（GB18918-2002） 一级A排放标准要求，2023年污水处理厂水质提标改造后，出水水质将达到（GB3838-2002）的准Ⅳ类，中水直接排入老运河湿地。</w:t>
      </w:r>
    </w:p>
    <w:p>
      <w:pPr>
        <w:snapToGrid w:val="0"/>
        <w:spacing w:line="56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山东公用北湖污水处理有限公司的运行是太白湖新区社会发展、南四湖流域水体环境保护的需要，对济宁市经济、环境协调发展具有重要意义。</w:t>
      </w:r>
    </w:p>
    <w:p>
      <w:pPr>
        <w:snapToGrid w:val="0"/>
        <w:spacing w:line="560" w:lineRule="exact"/>
        <w:ind w:firstLine="643" w:firstLineChars="200"/>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二、主要会计数据和财务指标</w:t>
      </w:r>
      <w:r>
        <w:rPr>
          <w:rFonts w:ascii="Times New Roman" w:hAnsi="Times New Roman" w:eastAsia="方正仿宋简体" w:cs="Times New Roman"/>
          <w:sz w:val="28"/>
          <w:szCs w:val="28"/>
        </w:rPr>
        <w:t>（</w:t>
      </w:r>
      <w:r>
        <w:rPr>
          <w:rFonts w:ascii="Times New Roman" w:hAnsi="Times New Roman" w:eastAsia="方正黑体简体" w:cs="Times New Roman"/>
          <w:b/>
          <w:bCs/>
          <w:sz w:val="32"/>
          <w:szCs w:val="32"/>
        </w:rPr>
        <w:t>截至到2024年9月30日）</w:t>
      </w:r>
    </w:p>
    <w:p>
      <w:pPr>
        <w:spacing w:line="560" w:lineRule="exact"/>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 xml:space="preserve">                                           </w:t>
      </w:r>
      <w:r>
        <w:rPr>
          <w:rFonts w:hint="eastAsia" w:ascii="方正黑体简体" w:hAnsi="方正黑体简体" w:eastAsia="方正黑体简体" w:cs="方正黑体简体"/>
          <w:sz w:val="30"/>
          <w:szCs w:val="30"/>
        </w:rPr>
        <w:t xml:space="preserve">   </w:t>
      </w:r>
      <w:r>
        <w:rPr>
          <w:rFonts w:hint="eastAsia" w:ascii="方正黑体简体" w:hAnsi="方正黑体简体" w:eastAsia="方正黑体简体" w:cs="方正黑体简体"/>
          <w:sz w:val="30"/>
          <w:szCs w:val="30"/>
          <w:lang w:val="en-US" w:eastAsia="zh-CN"/>
        </w:rPr>
        <w:t xml:space="preserve">  </w:t>
      </w:r>
      <w:r>
        <w:rPr>
          <w:rFonts w:ascii="方正黑体简体" w:hAnsi="方正黑体简体" w:eastAsia="方正黑体简体" w:cs="方正黑体简体"/>
          <w:sz w:val="30"/>
          <w:szCs w:val="30"/>
        </w:rPr>
        <w:t>单位： 万元</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53"/>
        <w:gridCol w:w="4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spacing w:line="560" w:lineRule="exact"/>
              <w:jc w:val="center"/>
              <w:rPr>
                <w:rFonts w:ascii="方正黑体简体" w:hAnsi="方正黑体简体" w:eastAsia="方正黑体简体" w:cs="方正黑体简体"/>
                <w:sz w:val="24"/>
              </w:rPr>
            </w:pPr>
            <w:r>
              <w:rPr>
                <w:rFonts w:ascii="方正黑体简体" w:hAnsi="方正黑体简体" w:eastAsia="方正黑体简体" w:cs="方正黑体简体"/>
                <w:sz w:val="24"/>
              </w:rPr>
              <w:t>营业总收入</w:t>
            </w:r>
          </w:p>
        </w:tc>
        <w:tc>
          <w:tcPr>
            <w:tcW w:w="4977" w:type="dxa"/>
          </w:tcPr>
          <w:p>
            <w:pPr>
              <w:snapToGrid w:val="0"/>
              <w:spacing w:line="580" w:lineRule="exact"/>
              <w:ind w:firstLine="643" w:firstLineChars="200"/>
              <w:jc w:val="center"/>
              <w:rPr>
                <w:rFonts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rPr>
              <w:t>724.16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spacing w:line="560" w:lineRule="exact"/>
              <w:jc w:val="center"/>
              <w:rPr>
                <w:rFonts w:ascii="Times New Roman" w:hAnsi="Times New Roman" w:eastAsia="方正仿宋简体" w:cs="Times New Roman"/>
                <w:sz w:val="24"/>
              </w:rPr>
            </w:pPr>
            <w:r>
              <w:rPr>
                <w:rFonts w:ascii="方正黑体简体" w:hAnsi="方正黑体简体" w:eastAsia="方正黑体简体" w:cs="方正黑体简体"/>
                <w:sz w:val="24"/>
              </w:rPr>
              <w:t>营业总成本</w:t>
            </w:r>
          </w:p>
        </w:tc>
        <w:tc>
          <w:tcPr>
            <w:tcW w:w="4977" w:type="dxa"/>
          </w:tcPr>
          <w:p>
            <w:pPr>
              <w:snapToGrid w:val="0"/>
              <w:spacing w:line="580" w:lineRule="exact"/>
              <w:ind w:firstLine="643" w:firstLineChars="200"/>
              <w:jc w:val="center"/>
              <w:rPr>
                <w:rFonts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rPr>
              <w:t>1129.26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spacing w:line="560" w:lineRule="exact"/>
              <w:jc w:val="center"/>
              <w:rPr>
                <w:rFonts w:ascii="方正黑体简体" w:hAnsi="方正黑体简体" w:eastAsia="方正黑体简体" w:cs="方正黑体简体"/>
                <w:sz w:val="24"/>
              </w:rPr>
            </w:pPr>
            <w:r>
              <w:rPr>
                <w:rFonts w:ascii="方正黑体简体" w:hAnsi="方正黑体简体" w:eastAsia="方正黑体简体" w:cs="方正黑体简体"/>
                <w:sz w:val="24"/>
              </w:rPr>
              <w:t>利润总额</w:t>
            </w:r>
          </w:p>
        </w:tc>
        <w:tc>
          <w:tcPr>
            <w:tcW w:w="4977" w:type="dxa"/>
          </w:tcPr>
          <w:p>
            <w:pPr>
              <w:snapToGrid w:val="0"/>
              <w:spacing w:line="580" w:lineRule="exact"/>
              <w:ind w:firstLine="643" w:firstLineChars="200"/>
              <w:jc w:val="center"/>
              <w:rPr>
                <w:rFonts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rPr>
              <w:t>-405.02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spacing w:line="560" w:lineRule="exact"/>
              <w:jc w:val="center"/>
              <w:rPr>
                <w:rFonts w:ascii="方正黑体简体" w:hAnsi="方正黑体简体" w:eastAsia="方正黑体简体" w:cs="方正黑体简体"/>
                <w:sz w:val="24"/>
              </w:rPr>
            </w:pPr>
            <w:r>
              <w:rPr>
                <w:rFonts w:ascii="方正黑体简体" w:hAnsi="方正黑体简体" w:eastAsia="方正黑体简体" w:cs="方正黑体简体"/>
                <w:sz w:val="24"/>
              </w:rPr>
              <w:t>净利润</w:t>
            </w:r>
          </w:p>
        </w:tc>
        <w:tc>
          <w:tcPr>
            <w:tcW w:w="4977" w:type="dxa"/>
          </w:tcPr>
          <w:p>
            <w:pPr>
              <w:snapToGrid w:val="0"/>
              <w:spacing w:line="580" w:lineRule="exact"/>
              <w:ind w:firstLine="643" w:firstLineChars="200"/>
              <w:jc w:val="center"/>
              <w:rPr>
                <w:rFonts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rPr>
              <w:t>-405.02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spacing w:line="560" w:lineRule="exact"/>
              <w:jc w:val="center"/>
              <w:rPr>
                <w:rFonts w:ascii="方正黑体简体" w:hAnsi="方正黑体简体" w:eastAsia="方正黑体简体" w:cs="方正黑体简体"/>
                <w:sz w:val="24"/>
              </w:rPr>
            </w:pPr>
            <w:r>
              <w:rPr>
                <w:rFonts w:ascii="方正黑体简体" w:hAnsi="方正黑体简体" w:eastAsia="方正黑体简体" w:cs="方正黑体简体"/>
                <w:sz w:val="24"/>
              </w:rPr>
              <w:t>资产总额</w:t>
            </w:r>
          </w:p>
        </w:tc>
        <w:tc>
          <w:tcPr>
            <w:tcW w:w="4977" w:type="dxa"/>
          </w:tcPr>
          <w:p>
            <w:pPr>
              <w:snapToGrid w:val="0"/>
              <w:spacing w:line="580" w:lineRule="exact"/>
              <w:ind w:firstLine="643" w:firstLineChars="200"/>
              <w:jc w:val="center"/>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611</w:t>
            </w:r>
            <w:r>
              <w:rPr>
                <w:rFonts w:hint="eastAsia" w:ascii="Times New Roman" w:hAnsi="Times New Roman" w:eastAsia="方正仿宋简体" w:cs="Times New Roman"/>
                <w:b/>
                <w:bCs/>
                <w:sz w:val="32"/>
                <w:szCs w:val="32"/>
              </w:rPr>
              <w:t>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spacing w:line="560" w:lineRule="exact"/>
              <w:jc w:val="center"/>
              <w:rPr>
                <w:rFonts w:ascii="方正黑体简体" w:hAnsi="方正黑体简体" w:eastAsia="方正黑体简体" w:cs="方正黑体简体"/>
                <w:sz w:val="24"/>
              </w:rPr>
            </w:pPr>
            <w:r>
              <w:rPr>
                <w:rFonts w:ascii="方正黑体简体" w:hAnsi="方正黑体简体" w:eastAsia="方正黑体简体" w:cs="方正黑体简体"/>
                <w:sz w:val="24"/>
              </w:rPr>
              <w:t>负债总额</w:t>
            </w:r>
          </w:p>
        </w:tc>
        <w:tc>
          <w:tcPr>
            <w:tcW w:w="4977" w:type="dxa"/>
          </w:tcPr>
          <w:p>
            <w:pPr>
              <w:snapToGrid w:val="0"/>
              <w:spacing w:line="580" w:lineRule="exact"/>
              <w:ind w:firstLine="643" w:firstLineChars="200"/>
              <w:jc w:val="center"/>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139</w:t>
            </w:r>
            <w:r>
              <w:rPr>
                <w:rFonts w:hint="eastAsia" w:ascii="Times New Roman" w:hAnsi="Times New Roman" w:eastAsia="方正仿宋简体" w:cs="Times New Roman"/>
                <w:b/>
                <w:bCs/>
                <w:sz w:val="32"/>
                <w:szCs w:val="32"/>
              </w:rPr>
              <w:t>69.70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spacing w:line="560" w:lineRule="exact"/>
              <w:jc w:val="center"/>
              <w:rPr>
                <w:rFonts w:ascii="方正黑体简体" w:hAnsi="方正黑体简体" w:eastAsia="方正黑体简体" w:cs="方正黑体简体"/>
                <w:sz w:val="24"/>
              </w:rPr>
            </w:pPr>
            <w:r>
              <w:rPr>
                <w:rFonts w:ascii="方正黑体简体" w:hAnsi="方正黑体简体" w:eastAsia="方正黑体简体" w:cs="方正黑体简体"/>
                <w:sz w:val="24"/>
              </w:rPr>
              <w:t>所有者权益</w:t>
            </w:r>
          </w:p>
        </w:tc>
        <w:tc>
          <w:tcPr>
            <w:tcW w:w="4977" w:type="dxa"/>
          </w:tcPr>
          <w:p>
            <w:pPr>
              <w:snapToGrid w:val="0"/>
              <w:spacing w:line="580" w:lineRule="exact"/>
              <w:ind w:firstLine="643" w:firstLineChars="200"/>
              <w:jc w:val="center"/>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-7854</w:t>
            </w:r>
            <w:r>
              <w:rPr>
                <w:rFonts w:hint="eastAsia" w:ascii="Times New Roman" w:hAnsi="Times New Roman" w:eastAsia="方正仿宋简体" w:cs="Times New Roman"/>
                <w:b/>
                <w:bCs/>
                <w:sz w:val="32"/>
                <w:szCs w:val="32"/>
              </w:rPr>
              <w:t>.09</w:t>
            </w:r>
          </w:p>
        </w:tc>
      </w:tr>
    </w:tbl>
    <w:p>
      <w:pPr>
        <w:snapToGrid w:val="0"/>
        <w:spacing w:line="560" w:lineRule="exact"/>
        <w:ind w:firstLine="643" w:firstLineChars="200"/>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三、财务预算执行情况</w:t>
      </w:r>
    </w:p>
    <w:p>
      <w:pPr>
        <w:snapToGrid w:val="0"/>
        <w:spacing w:line="56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1.营业收入：本年预算860万元，截至到2024年9月30日，完成</w:t>
      </w:r>
      <w:r>
        <w:rPr>
          <w:rFonts w:hint="eastAsia" w:ascii="Times New Roman" w:hAnsi="Times New Roman" w:eastAsia="方正仿宋简体" w:cs="Times New Roman"/>
          <w:b/>
          <w:bCs/>
          <w:sz w:val="32"/>
          <w:szCs w:val="32"/>
        </w:rPr>
        <w:t>84.19</w:t>
      </w:r>
      <w:r>
        <w:rPr>
          <w:rFonts w:ascii="Times New Roman" w:hAnsi="Times New Roman" w:eastAsia="方正仿宋简体" w:cs="Times New Roman"/>
          <w:b/>
          <w:bCs/>
          <w:sz w:val="32"/>
          <w:szCs w:val="32"/>
        </w:rPr>
        <w:t>%。</w:t>
      </w:r>
    </w:p>
    <w:p>
      <w:pPr>
        <w:snapToGrid w:val="0"/>
        <w:spacing w:line="56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2.利润总额：本年预算-1127万元，截至到2024年9月30日，完成</w:t>
      </w:r>
      <w:r>
        <w:rPr>
          <w:rFonts w:hint="eastAsia" w:ascii="Times New Roman" w:hAnsi="Times New Roman" w:eastAsia="方正仿宋简体" w:cs="Times New Roman"/>
          <w:b/>
          <w:bCs/>
          <w:sz w:val="32"/>
          <w:szCs w:val="32"/>
        </w:rPr>
        <w:t>164.06</w:t>
      </w:r>
      <w:r>
        <w:rPr>
          <w:rFonts w:ascii="Times New Roman" w:hAnsi="Times New Roman" w:eastAsia="方正仿宋简体" w:cs="Times New Roman"/>
          <w:b/>
          <w:bCs/>
          <w:sz w:val="32"/>
          <w:szCs w:val="32"/>
        </w:rPr>
        <w:t>%。</w:t>
      </w:r>
    </w:p>
    <w:p>
      <w:pPr>
        <w:snapToGrid w:val="0"/>
        <w:spacing w:line="560" w:lineRule="exact"/>
        <w:ind w:firstLine="643" w:firstLineChars="200"/>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四、</w:t>
      </w:r>
      <w:r>
        <w:rPr>
          <w:rFonts w:hint="eastAsia" w:ascii="方正黑体简体" w:hAnsi="方正黑体简体" w:eastAsia="方正黑体简体" w:cs="方正黑体简体"/>
          <w:b/>
          <w:bCs/>
          <w:sz w:val="32"/>
          <w:szCs w:val="32"/>
        </w:rPr>
        <w:t>本季度</w:t>
      </w:r>
      <w:r>
        <w:rPr>
          <w:rFonts w:ascii="Times New Roman" w:hAnsi="Times New Roman" w:eastAsia="方正黑体简体" w:cs="Times New Roman"/>
          <w:b/>
          <w:bCs/>
          <w:sz w:val="32"/>
          <w:szCs w:val="32"/>
        </w:rPr>
        <w:t>内发生的重大事项及对公司的影响</w:t>
      </w:r>
    </w:p>
    <w:p>
      <w:pPr>
        <w:spacing w:line="560" w:lineRule="exact"/>
        <w:ind w:firstLine="642"/>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2024年8月8日，积极与相关部门沟通协调，完成了提标改造工程验收、水价调整工作，从验收之日起，已执行污水处理费调整后新价格，有效增加公司营收</w:t>
      </w:r>
      <w:r>
        <w:rPr>
          <w:rFonts w:hint="eastAsia" w:ascii="Times New Roman" w:hAnsi="Times New Roman" w:eastAsia="方正仿宋简体" w:cs="Times New Roman"/>
          <w:b/>
          <w:bCs/>
          <w:sz w:val="32"/>
          <w:szCs w:val="32"/>
        </w:rPr>
        <w:t>，推进公司减亏工作。</w:t>
      </w:r>
      <w:bookmarkStart w:id="0" w:name="_GoBack"/>
      <w:bookmarkEnd w:id="0"/>
    </w:p>
    <w:p>
      <w:pPr>
        <w:spacing w:line="560" w:lineRule="exact"/>
        <w:rPr>
          <w:rFonts w:ascii="Times New Roman" w:hAnsi="Times New Roman" w:eastAsia="方正仿宋简体" w:cs="Times New Roma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ZWY1MTZiMTkyZjJiYmE4ZmY2NmQ4YzIyODA0ODMifQ=="/>
  </w:docVars>
  <w:rsids>
    <w:rsidRoot w:val="009304A8"/>
    <w:rsid w:val="002206A3"/>
    <w:rsid w:val="009304A8"/>
    <w:rsid w:val="010D737F"/>
    <w:rsid w:val="073D6D0E"/>
    <w:rsid w:val="095B6F94"/>
    <w:rsid w:val="0AEC4D95"/>
    <w:rsid w:val="0C1A2FEB"/>
    <w:rsid w:val="0C3B2998"/>
    <w:rsid w:val="10581217"/>
    <w:rsid w:val="10BE79C7"/>
    <w:rsid w:val="116E6C1A"/>
    <w:rsid w:val="11C94C74"/>
    <w:rsid w:val="15AF343C"/>
    <w:rsid w:val="173F2452"/>
    <w:rsid w:val="1B8F115B"/>
    <w:rsid w:val="1C4116F7"/>
    <w:rsid w:val="1C6116E7"/>
    <w:rsid w:val="1EC20E2A"/>
    <w:rsid w:val="1F300041"/>
    <w:rsid w:val="210B455B"/>
    <w:rsid w:val="21961FA1"/>
    <w:rsid w:val="26726E55"/>
    <w:rsid w:val="27556D74"/>
    <w:rsid w:val="29E32BBB"/>
    <w:rsid w:val="2AE02898"/>
    <w:rsid w:val="2AF34583"/>
    <w:rsid w:val="2B3F25B5"/>
    <w:rsid w:val="2D750357"/>
    <w:rsid w:val="2FEC7052"/>
    <w:rsid w:val="30C64425"/>
    <w:rsid w:val="325F1A40"/>
    <w:rsid w:val="343812E8"/>
    <w:rsid w:val="35855A91"/>
    <w:rsid w:val="36CF6F6B"/>
    <w:rsid w:val="37555034"/>
    <w:rsid w:val="39CC509A"/>
    <w:rsid w:val="3AAB6272"/>
    <w:rsid w:val="3AF55BE1"/>
    <w:rsid w:val="3AF622E6"/>
    <w:rsid w:val="3BB55FE5"/>
    <w:rsid w:val="3BFC0A47"/>
    <w:rsid w:val="3CFB1B62"/>
    <w:rsid w:val="3FC26114"/>
    <w:rsid w:val="40BD30B7"/>
    <w:rsid w:val="41281C9D"/>
    <w:rsid w:val="41FF3444"/>
    <w:rsid w:val="434B161A"/>
    <w:rsid w:val="43643E1F"/>
    <w:rsid w:val="44D02732"/>
    <w:rsid w:val="45C53C3B"/>
    <w:rsid w:val="46854B6C"/>
    <w:rsid w:val="49F13122"/>
    <w:rsid w:val="4AC074EF"/>
    <w:rsid w:val="4CCE257E"/>
    <w:rsid w:val="4D684F8B"/>
    <w:rsid w:val="4DD7469C"/>
    <w:rsid w:val="4E5F12FF"/>
    <w:rsid w:val="4FD54954"/>
    <w:rsid w:val="50EE503F"/>
    <w:rsid w:val="53ED6D31"/>
    <w:rsid w:val="55BA32E0"/>
    <w:rsid w:val="56931D7A"/>
    <w:rsid w:val="5A9A495C"/>
    <w:rsid w:val="5AD90BFD"/>
    <w:rsid w:val="5E2E4B82"/>
    <w:rsid w:val="5F4B061C"/>
    <w:rsid w:val="60C55797"/>
    <w:rsid w:val="61E45EAC"/>
    <w:rsid w:val="628D27E7"/>
    <w:rsid w:val="63854CEE"/>
    <w:rsid w:val="640109FE"/>
    <w:rsid w:val="66EB1D5F"/>
    <w:rsid w:val="6841533D"/>
    <w:rsid w:val="68AC57F5"/>
    <w:rsid w:val="68CB12B8"/>
    <w:rsid w:val="6A513C3D"/>
    <w:rsid w:val="6B1E2E25"/>
    <w:rsid w:val="6CB05D82"/>
    <w:rsid w:val="6DAC7C52"/>
    <w:rsid w:val="6DAD6A30"/>
    <w:rsid w:val="72711825"/>
    <w:rsid w:val="72A32873"/>
    <w:rsid w:val="72D9744E"/>
    <w:rsid w:val="734F3991"/>
    <w:rsid w:val="74EA3D65"/>
    <w:rsid w:val="770E00D7"/>
    <w:rsid w:val="7723296C"/>
    <w:rsid w:val="772D5527"/>
    <w:rsid w:val="77727E0A"/>
    <w:rsid w:val="79FA00B0"/>
    <w:rsid w:val="7A9C7849"/>
    <w:rsid w:val="7D047F87"/>
    <w:rsid w:val="7D5273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169</Words>
  <Characters>967</Characters>
  <Lines>8</Lines>
  <Paragraphs>2</Paragraphs>
  <TotalTime>2</TotalTime>
  <ScaleCrop>false</ScaleCrop>
  <LinksUpToDate>false</LinksUpToDate>
  <CharactersWithSpaces>1134</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2022-04-28T00:56:00Z</dcterms:created>
  <dc:creator>lenovo</dc:creator>
  <cp:lastModifiedBy>张娜</cp:lastModifiedBy>
  <cp:lastPrinted>2024-10-22T07:52:00Z</cp:lastPrinted>
  <dcterms:modified xsi:type="dcterms:W3CDTF">2024-10-30T06:59:50Z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957CDE41DA7B4ADFB1DCB0DE24FF1E00</vt:lpwstr>
  </property>
</Properties>
</file>