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山东公用水务集团</w:t>
      </w:r>
      <w:r>
        <w:rPr>
          <w:rFonts w:hint="eastAsia" w:ascii="方正小标宋简体" w:hAnsi="方正小标宋简体" w:eastAsia="方正小标宋简体" w:cs="方正小标宋简体"/>
          <w:b/>
          <w:bCs/>
          <w:sz w:val="44"/>
          <w:szCs w:val="44"/>
        </w:rPr>
        <w:t xml:space="preserve">有限公司 </w:t>
      </w:r>
    </w:p>
    <w:p>
      <w:pPr>
        <w:snapToGrid w:val="0"/>
        <w:spacing w:line="640" w:lineRule="exact"/>
        <w:jc w:val="center"/>
        <w:rPr>
          <w:rFonts w:hint="eastAsia" w:ascii="宋体" w:hAnsi="宋体" w:eastAsia="方正小标宋简体" w:cs="宋体"/>
          <w:sz w:val="24"/>
          <w:lang w:eastAsia="zh-CN"/>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val="en-US" w:eastAsia="zh-CN"/>
        </w:rPr>
        <w:t>第三季度</w:t>
      </w:r>
      <w:r>
        <w:rPr>
          <w:rFonts w:hint="eastAsia" w:ascii="方正小标宋简体" w:hAnsi="方正小标宋简体" w:eastAsia="方正小标宋简体" w:cs="方正小标宋简体"/>
          <w:b/>
          <w:bCs/>
          <w:sz w:val="44"/>
          <w:szCs w:val="44"/>
        </w:rPr>
        <w:t>财务重大信息公开</w:t>
      </w:r>
    </w:p>
    <w:p>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lang w:val="en-US" w:eastAsia="zh-CN"/>
        </w:rPr>
        <w:t>.公司</w:t>
      </w:r>
      <w:r>
        <w:rPr>
          <w:rFonts w:hint="eastAsia" w:ascii="方正仿宋简体" w:hAnsi="方正仿宋简体" w:eastAsia="方正仿宋简体" w:cs="方正仿宋简体"/>
          <w:b/>
          <w:bCs/>
          <w:sz w:val="32"/>
          <w:szCs w:val="32"/>
        </w:rPr>
        <w:t>名称：</w:t>
      </w:r>
      <w:r>
        <w:rPr>
          <w:rFonts w:hint="eastAsia" w:ascii="方正仿宋简体" w:hAnsi="方正仿宋简体" w:eastAsia="方正仿宋简体" w:cs="方正仿宋简体"/>
          <w:b/>
          <w:bCs/>
          <w:sz w:val="32"/>
          <w:szCs w:val="32"/>
          <w:lang w:val="en-US" w:eastAsia="zh-CN"/>
        </w:rPr>
        <w:t>山东公用水务集团</w:t>
      </w:r>
      <w:r>
        <w:rPr>
          <w:rFonts w:hint="eastAsia" w:ascii="方正仿宋简体" w:hAnsi="方正仿宋简体" w:eastAsia="方正仿宋简体" w:cs="方正仿宋简体"/>
          <w:b/>
          <w:bCs/>
          <w:sz w:val="32"/>
          <w:szCs w:val="32"/>
        </w:rPr>
        <w:t>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w:t>
      </w:r>
      <w:r>
        <w:rPr>
          <w:rFonts w:hint="eastAsia" w:ascii="方正仿宋简体" w:hAnsi="方正仿宋简体" w:eastAsia="方正仿宋简体" w:cs="方正仿宋简体"/>
          <w:b/>
          <w:bCs/>
          <w:sz w:val="32"/>
          <w:szCs w:val="32"/>
          <w:lang w:val="en-US" w:eastAsia="zh-CN"/>
        </w:rPr>
        <w:t>王宗莉</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注册地址：山东省济宁市任城区红星中路</w:t>
      </w:r>
      <w:r>
        <w:rPr>
          <w:rFonts w:hint="default" w:ascii="Times New Roman" w:hAnsi="Times New Roman" w:eastAsia="方正仿宋简体" w:cs="Times New Roman"/>
          <w:b/>
          <w:bCs/>
          <w:sz w:val="32"/>
          <w:szCs w:val="32"/>
        </w:rPr>
        <w:t>23</w:t>
      </w:r>
      <w:r>
        <w:rPr>
          <w:rFonts w:hint="eastAsia" w:ascii="方正仿宋简体" w:hAnsi="方正仿宋简体" w:eastAsia="方正仿宋简体" w:cs="方正仿宋简体"/>
          <w:b/>
          <w:bCs/>
          <w:sz w:val="32"/>
          <w:szCs w:val="32"/>
        </w:rPr>
        <w:t>号</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 xml:space="preserve">经营范围：自来水生产和供应；污水处理及其再生利用；水务行业的投资、建设、设计、施工、经营管理；水质化验；水务技术开发、技术咨询。（依法须经批准的项目，经相关部门批准后方可开展经营活动） </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公司简介:山东公用水务集团有限公司是山东公用控股旗下专注于水资源循环利用和水生态环境保护事业的旗舰企业。公司成立于</w:t>
      </w:r>
      <w:r>
        <w:rPr>
          <w:rFonts w:hint="eastAsia" w:ascii="Times New Roman" w:hAnsi="Times New Roman" w:eastAsia="方正仿宋简体" w:cs="Times New Roman"/>
          <w:b/>
          <w:bCs/>
          <w:sz w:val="32"/>
          <w:szCs w:val="32"/>
        </w:rPr>
        <w:t>2019</w:t>
      </w:r>
      <w:r>
        <w:rPr>
          <w:rFonts w:hint="eastAsia" w:ascii="方正仿宋简体" w:hAnsi="方正仿宋简体" w:eastAsia="方正仿宋简体" w:cs="方正仿宋简体"/>
          <w:b/>
          <w:bCs/>
          <w:sz w:val="32"/>
          <w:szCs w:val="32"/>
        </w:rPr>
        <w:t>年，注册资金</w:t>
      </w:r>
      <w:r>
        <w:rPr>
          <w:rFonts w:hint="eastAsia"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亿元，是集水务行业投资、建设、设计、施工、经营管理，水务技术开发、技术咨询为一体的综合水务环境服务商。</w:t>
      </w:r>
      <w:r>
        <w:rPr>
          <w:rFonts w:hint="eastAsia" w:ascii="方正仿宋简体" w:hAnsi="方正仿宋简体" w:eastAsia="方正仿宋简体" w:cs="方正仿宋简体"/>
          <w:b/>
          <w:bCs/>
          <w:sz w:val="32"/>
          <w:szCs w:val="32"/>
          <w:lang w:val="en-US" w:eastAsia="zh-CN"/>
        </w:rPr>
        <w:t>截至目前，</w:t>
      </w:r>
      <w:r>
        <w:rPr>
          <w:rFonts w:hint="eastAsia" w:ascii="Times New Roman" w:hAnsi="Times New Roman" w:eastAsia="方正仿宋简体" w:cs="Times New Roman"/>
          <w:b/>
          <w:bCs/>
          <w:sz w:val="32"/>
          <w:szCs w:val="32"/>
          <w:lang w:val="en-US" w:eastAsia="zh-CN"/>
        </w:rPr>
        <w:t>公司合计权属供水厂21座，日供水能力41万立方米，污水厂18座，日处理污水能力66万立</w:t>
      </w:r>
      <w:r>
        <w:rPr>
          <w:rFonts w:hint="eastAsia" w:ascii="方正仿宋简体" w:hAnsi="方正仿宋简体" w:eastAsia="方正仿宋简体" w:cs="方正仿宋简体"/>
          <w:b/>
          <w:bCs/>
          <w:sz w:val="32"/>
          <w:szCs w:val="32"/>
          <w:lang w:eastAsia="zh-CN"/>
        </w:rPr>
        <w:t>方米，</w:t>
      </w:r>
      <w:r>
        <w:rPr>
          <w:rFonts w:hint="eastAsia" w:ascii="方正仿宋简体" w:hAnsi="方正仿宋简体" w:eastAsia="方正仿宋简体" w:cs="方正仿宋简体"/>
          <w:b/>
          <w:bCs/>
          <w:sz w:val="32"/>
          <w:szCs w:val="32"/>
          <w:lang w:val="en-US" w:eastAsia="zh-CN"/>
        </w:rPr>
        <w:t>通过提标改造，出水水质指标均达到准Ⅳ类标准，</w:t>
      </w:r>
      <w:r>
        <w:rPr>
          <w:rFonts w:hint="eastAsia" w:ascii="方正仿宋简体" w:hAnsi="方正仿宋简体" w:eastAsia="方正仿宋简体" w:cs="方正仿宋简体"/>
          <w:b/>
          <w:bCs/>
          <w:sz w:val="32"/>
          <w:szCs w:val="32"/>
          <w:lang w:eastAsia="zh-CN"/>
        </w:rPr>
        <w:t>服务人口</w:t>
      </w:r>
      <w:r>
        <w:rPr>
          <w:rFonts w:hint="eastAsia" w:ascii="方正仿宋简体" w:hAnsi="方正仿宋简体" w:eastAsia="方正仿宋简体" w:cs="方正仿宋简体"/>
          <w:b/>
          <w:bCs/>
          <w:sz w:val="32"/>
          <w:szCs w:val="32"/>
          <w:lang w:val="en-US" w:eastAsia="zh-CN"/>
        </w:rPr>
        <w:t>约</w:t>
      </w:r>
      <w:r>
        <w:rPr>
          <w:rFonts w:hint="eastAsia" w:ascii="Times New Roman" w:hAnsi="Times New Roman" w:eastAsia="方正仿宋简体" w:cs="Times New Roman"/>
          <w:b/>
          <w:bCs/>
          <w:sz w:val="32"/>
          <w:szCs w:val="32"/>
          <w:lang w:val="en-US" w:eastAsia="zh-CN"/>
        </w:rPr>
        <w:t>400万</w:t>
      </w:r>
      <w:r>
        <w:rPr>
          <w:rFonts w:hint="eastAsia" w:ascii="方正仿宋简体" w:hAnsi="方正仿宋简体" w:eastAsia="方正仿宋简体" w:cs="方正仿宋简体"/>
          <w:b/>
          <w:bCs/>
          <w:sz w:val="32"/>
          <w:szCs w:val="32"/>
          <w:lang w:val="en-US" w:eastAsia="zh-CN"/>
        </w:rPr>
        <w:t>人</w:t>
      </w:r>
      <w:r>
        <w:rPr>
          <w:rFonts w:hint="eastAsia" w:ascii="方正仿宋简体" w:hAnsi="方正仿宋简体" w:eastAsia="方正仿宋简体" w:cs="方正仿宋简体"/>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2023年，在集团公司的鼎力支持下，公司成功引入世界五百强、全球环境发展龙头企业--苏伊士环境集团为合作主体，共同建设运营曲阜市陵城10万方/日污水处理厂项目，在此基础上，双方不断拓宽合作范围及产业领域，为公司建设成为“鲁南水务行业发展标杆”及“全国水务领先水务行业综合服务商”奠定了坚实基础</w:t>
      </w:r>
      <w:r>
        <w:rPr>
          <w:rFonts w:hint="eastAsia" w:ascii="方正仿宋简体" w:hAnsi="方正仿宋简体" w:eastAsia="方正仿宋简体" w:cs="方正仿宋简体"/>
          <w:b/>
          <w:bCs/>
          <w:sz w:val="32"/>
          <w:szCs w:val="32"/>
          <w:lang w:val="en-US" w:eastAsia="zh-CN"/>
        </w:rPr>
        <w:t>。</w:t>
      </w:r>
    </w:p>
    <w:p>
      <w:pPr>
        <w:snapToGrid w:val="0"/>
        <w:spacing w:line="580" w:lineRule="exact"/>
        <w:ind w:firstLine="643" w:firstLineChars="200"/>
        <w:rPr>
          <w:rFonts w:hint="eastAsia" w:ascii="方正黑体简体" w:hAnsi="方正黑体简体" w:eastAsia="方正黑体简体" w:cs="方正黑体简体"/>
          <w:b/>
          <w:bCs/>
          <w:sz w:val="28"/>
          <w:szCs w:val="28"/>
          <w:lang w:val="en-US" w:eastAsia="zh-CN"/>
        </w:rPr>
      </w:pPr>
      <w:r>
        <w:rPr>
          <w:rFonts w:hint="eastAsia" w:ascii="方正黑体简体" w:hAnsi="方正黑体简体" w:eastAsia="方正黑体简体" w:cs="方正黑体简体"/>
          <w:b/>
          <w:bCs/>
          <w:sz w:val="32"/>
          <w:szCs w:val="32"/>
        </w:rPr>
        <w:t>二、主要会计数据和财务指标</w:t>
      </w:r>
      <w:r>
        <w:rPr>
          <w:rFonts w:hint="eastAsia" w:ascii="方正黑体简体" w:hAnsi="方正黑体简体" w:eastAsia="方正黑体简体" w:cs="方正黑体简体"/>
          <w:sz w:val="28"/>
          <w:szCs w:val="28"/>
        </w:rPr>
        <w:t>（截至到</w:t>
      </w:r>
      <w:r>
        <w:rPr>
          <w:rFonts w:hint="eastAsia" w:ascii="Times New Roman" w:hAnsi="Times New Roman" w:eastAsia="方正仿宋简体" w:cs="Times New Roman"/>
          <w:b/>
          <w:bCs/>
          <w:sz w:val="28"/>
          <w:szCs w:val="28"/>
          <w:lang w:val="en-US" w:eastAsia="zh-CN"/>
        </w:rPr>
        <w:t>2024年9月30日</w:t>
      </w:r>
      <w:r>
        <w:rPr>
          <w:rFonts w:hint="eastAsia" w:ascii="方正黑体简体" w:hAnsi="方正黑体简体" w:eastAsia="方正黑体简体" w:cs="方正黑体简体"/>
          <w:sz w:val="28"/>
          <w:szCs w:val="28"/>
        </w:rPr>
        <w:t>）</w:t>
      </w:r>
    </w:p>
    <w:p>
      <w:pPr>
        <w:ind w:firstLine="6720" w:firstLineChars="2400"/>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sz w:val="28"/>
          <w:szCs w:val="28"/>
          <w:lang w:val="en-US" w:eastAsia="zh-CN"/>
        </w:rPr>
        <w:t>单</w:t>
      </w:r>
      <w:r>
        <w:rPr>
          <w:rFonts w:hint="eastAsia" w:ascii="方正黑体简体" w:hAnsi="方正黑体简体" w:eastAsia="方正黑体简体" w:cs="方正黑体简体"/>
          <w:sz w:val="28"/>
          <w:szCs w:val="28"/>
        </w:rPr>
        <w:t>位： 万元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营业总收入</w:t>
            </w:r>
          </w:p>
        </w:tc>
        <w:tc>
          <w:tcPr>
            <w:tcW w:w="4977" w:type="dxa"/>
            <w:vAlign w:val="top"/>
          </w:tcPr>
          <w:p>
            <w:pPr>
              <w:snapToGrid w:val="0"/>
              <w:spacing w:line="580" w:lineRule="exact"/>
              <w:ind w:firstLine="562" w:firstLineChars="200"/>
              <w:jc w:val="center"/>
              <w:rPr>
                <w:rFonts w:hint="default"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64428.00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营业总成本</w:t>
            </w:r>
          </w:p>
        </w:tc>
        <w:tc>
          <w:tcPr>
            <w:tcW w:w="4977" w:type="dxa"/>
            <w:vAlign w:val="top"/>
          </w:tcPr>
          <w:p>
            <w:pPr>
              <w:snapToGrid w:val="0"/>
              <w:spacing w:line="580" w:lineRule="exact"/>
              <w:ind w:firstLine="562" w:firstLineChars="200"/>
              <w:jc w:val="center"/>
              <w:rPr>
                <w:rFonts w:hint="default"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56031.00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利润总额</w:t>
            </w:r>
          </w:p>
        </w:tc>
        <w:tc>
          <w:tcPr>
            <w:tcW w:w="4977" w:type="dxa"/>
            <w:vAlign w:val="top"/>
          </w:tcPr>
          <w:p>
            <w:pPr>
              <w:snapToGrid w:val="0"/>
              <w:spacing w:line="580" w:lineRule="exact"/>
              <w:ind w:firstLine="562" w:firstLineChars="200"/>
              <w:jc w:val="center"/>
              <w:rPr>
                <w:rFonts w:hint="default"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8894.00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净利润</w:t>
            </w:r>
          </w:p>
        </w:tc>
        <w:tc>
          <w:tcPr>
            <w:tcW w:w="4977" w:type="dxa"/>
            <w:vAlign w:val="top"/>
          </w:tcPr>
          <w:p>
            <w:pPr>
              <w:snapToGrid w:val="0"/>
              <w:spacing w:line="580" w:lineRule="exact"/>
              <w:ind w:firstLine="562" w:firstLineChars="200"/>
              <w:jc w:val="center"/>
              <w:rPr>
                <w:rFonts w:hint="default"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6510.00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资产总额</w:t>
            </w:r>
          </w:p>
        </w:tc>
        <w:tc>
          <w:tcPr>
            <w:tcW w:w="4977" w:type="dxa"/>
            <w:vAlign w:val="top"/>
          </w:tcPr>
          <w:p>
            <w:pPr>
              <w:snapToGrid w:val="0"/>
              <w:spacing w:line="580" w:lineRule="exact"/>
              <w:ind w:firstLine="562" w:firstLineChars="200"/>
              <w:jc w:val="center"/>
              <w:rPr>
                <w:rFonts w:hint="default"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599036.00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负债总额</w:t>
            </w:r>
          </w:p>
        </w:tc>
        <w:tc>
          <w:tcPr>
            <w:tcW w:w="4977" w:type="dxa"/>
            <w:vAlign w:val="top"/>
          </w:tcPr>
          <w:p>
            <w:pPr>
              <w:snapToGrid w:val="0"/>
              <w:spacing w:line="580" w:lineRule="exact"/>
              <w:ind w:firstLine="562" w:firstLineChars="200"/>
              <w:jc w:val="center"/>
              <w:rPr>
                <w:rFonts w:hint="default"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453231.00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所有者权益</w:t>
            </w:r>
          </w:p>
        </w:tc>
        <w:tc>
          <w:tcPr>
            <w:tcW w:w="4977" w:type="dxa"/>
            <w:vAlign w:val="top"/>
          </w:tcPr>
          <w:p>
            <w:pPr>
              <w:snapToGrid w:val="0"/>
              <w:spacing w:line="580" w:lineRule="exact"/>
              <w:ind w:firstLine="562" w:firstLineChars="200"/>
              <w:jc w:val="center"/>
              <w:rPr>
                <w:rFonts w:hint="default"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145805.00</w:t>
            </w:r>
          </w:p>
        </w:tc>
      </w:tr>
    </w:tbl>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snapToGrid w:val="0"/>
        <w:spacing w:line="580" w:lineRule="exact"/>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营业收入：本年预算</w:t>
      </w:r>
      <w:r>
        <w:rPr>
          <w:rFonts w:hint="eastAsia" w:ascii="Times New Roman" w:hAnsi="Times New Roman" w:eastAsia="方正仿宋简体" w:cs="Times New Roman"/>
          <w:b/>
          <w:bCs/>
          <w:sz w:val="32"/>
          <w:szCs w:val="32"/>
          <w:lang w:val="en-US" w:eastAsia="zh-CN"/>
        </w:rPr>
        <w:t>85188.03</w:t>
      </w:r>
      <w:r>
        <w:rPr>
          <w:rFonts w:hint="eastAsia" w:ascii="方正仿宋简体" w:hAnsi="方正仿宋简体" w:eastAsia="方正仿宋简体" w:cs="方正仿宋简体"/>
          <w:b/>
          <w:bCs/>
          <w:sz w:val="32"/>
          <w:szCs w:val="32"/>
        </w:rPr>
        <w:t>万元，截至到</w:t>
      </w:r>
      <w:r>
        <w:rPr>
          <w:rFonts w:hint="eastAsia" w:ascii="Times New Roman" w:hAnsi="Times New Roman" w:eastAsia="方正仿宋简体" w:cs="Times New Roman"/>
          <w:b/>
          <w:bCs/>
          <w:sz w:val="32"/>
          <w:szCs w:val="32"/>
          <w:lang w:val="en-US" w:eastAsia="zh-CN"/>
        </w:rPr>
        <w:t>2024年9月30日</w:t>
      </w:r>
      <w:r>
        <w:rPr>
          <w:rFonts w:hint="eastAsia" w:ascii="方正仿宋简体" w:hAnsi="方正仿宋简体" w:eastAsia="方正仿宋简体" w:cs="方正仿宋简体"/>
          <w:b/>
          <w:bCs/>
          <w:sz w:val="32"/>
          <w:szCs w:val="32"/>
        </w:rPr>
        <w:t>，完成</w:t>
      </w:r>
      <w:r>
        <w:rPr>
          <w:rFonts w:hint="eastAsia" w:ascii="Times New Roman" w:hAnsi="Times New Roman" w:eastAsia="方正仿宋简体" w:cs="Times New Roman"/>
          <w:b/>
          <w:bCs/>
          <w:sz w:val="32"/>
          <w:szCs w:val="32"/>
          <w:lang w:val="en-US" w:eastAsia="zh-CN"/>
        </w:rPr>
        <w:t>75.63%</w:t>
      </w:r>
      <w:r>
        <w:rPr>
          <w:rFonts w:hint="eastAsia" w:ascii="方正仿宋简体" w:hAnsi="方正仿宋简体" w:eastAsia="方正仿宋简体" w:cs="方正仿宋简体"/>
          <w:b/>
          <w:bCs/>
          <w:sz w:val="32"/>
          <w:szCs w:val="32"/>
        </w:rPr>
        <w:t>。</w:t>
      </w:r>
    </w:p>
    <w:p>
      <w:pPr>
        <w:snapToGrid w:val="0"/>
        <w:spacing w:line="580" w:lineRule="exact"/>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rPr>
        <w:t>利润总额：本年预算</w:t>
      </w:r>
      <w:r>
        <w:rPr>
          <w:rFonts w:hint="eastAsia" w:ascii="Times New Roman" w:hAnsi="Times New Roman" w:eastAsia="方正仿宋简体" w:cs="Times New Roman"/>
          <w:b/>
          <w:bCs/>
          <w:sz w:val="32"/>
          <w:szCs w:val="32"/>
          <w:lang w:val="en-US" w:eastAsia="zh-CN"/>
        </w:rPr>
        <w:t>9074.99</w:t>
      </w:r>
      <w:r>
        <w:rPr>
          <w:rFonts w:hint="eastAsia" w:ascii="方正仿宋简体" w:hAnsi="方正仿宋简体" w:eastAsia="方正仿宋简体" w:cs="方正仿宋简体"/>
          <w:b/>
          <w:bCs/>
          <w:sz w:val="32"/>
          <w:szCs w:val="32"/>
        </w:rPr>
        <w:t>万元，截至到</w:t>
      </w:r>
      <w:r>
        <w:rPr>
          <w:rFonts w:hint="default" w:ascii="Times New Roman" w:hAnsi="Times New Roman" w:eastAsia="方正仿宋简体" w:cs="Times New Roman"/>
          <w:b/>
          <w:bCs/>
          <w:sz w:val="32"/>
          <w:szCs w:val="32"/>
          <w:lang w:val="en-US" w:eastAsia="zh-CN"/>
        </w:rPr>
        <w:t>2024年9月30日</w:t>
      </w:r>
      <w:r>
        <w:rPr>
          <w:rFonts w:hint="eastAsia" w:ascii="方正仿宋简体" w:hAnsi="方正仿宋简体" w:eastAsia="方正仿宋简体" w:cs="方正仿宋简体"/>
          <w:b/>
          <w:bCs/>
          <w:sz w:val="32"/>
          <w:szCs w:val="32"/>
        </w:rPr>
        <w:t>，完成</w:t>
      </w:r>
      <w:r>
        <w:rPr>
          <w:rFonts w:hint="eastAsia" w:ascii="Times New Roman" w:hAnsi="Times New Roman" w:eastAsia="方正仿宋简体" w:cs="Times New Roman"/>
          <w:b/>
          <w:bCs/>
          <w:sz w:val="32"/>
          <w:szCs w:val="32"/>
          <w:lang w:val="en-US" w:eastAsia="zh-CN"/>
        </w:rPr>
        <w:t>98.01%</w:t>
      </w:r>
      <w:r>
        <w:rPr>
          <w:rFonts w:hint="eastAsia" w:ascii="方正仿宋简体" w:hAnsi="方正仿宋简体" w:eastAsia="方正仿宋简体" w:cs="方正仿宋简体"/>
          <w:b/>
          <w:bCs/>
          <w:sz w:val="32"/>
          <w:szCs w:val="32"/>
        </w:rPr>
        <w:t>。</w:t>
      </w:r>
    </w:p>
    <w:p>
      <w:pPr>
        <w:snapToGrid w:val="0"/>
        <w:spacing w:line="58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四、本季度内发生的重大事项及对企业的影响</w:t>
      </w:r>
    </w:p>
    <w:p>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无。</w:t>
      </w:r>
      <w:bookmarkStart w:id="0" w:name="_GoBack"/>
      <w:bookmarkEnd w:id="0"/>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6F51B13"/>
    <w:rsid w:val="09EC724C"/>
    <w:rsid w:val="0C301E0D"/>
    <w:rsid w:val="0D6D5D2C"/>
    <w:rsid w:val="13CC2444"/>
    <w:rsid w:val="141C4B30"/>
    <w:rsid w:val="180477A4"/>
    <w:rsid w:val="18F16C5C"/>
    <w:rsid w:val="19560A59"/>
    <w:rsid w:val="1C496371"/>
    <w:rsid w:val="1C5B3DCF"/>
    <w:rsid w:val="1DB14616"/>
    <w:rsid w:val="26586AD2"/>
    <w:rsid w:val="29D47C5C"/>
    <w:rsid w:val="2A4822AF"/>
    <w:rsid w:val="2CB31F06"/>
    <w:rsid w:val="2D9F5C7A"/>
    <w:rsid w:val="31540A61"/>
    <w:rsid w:val="330A2CD3"/>
    <w:rsid w:val="33A670F3"/>
    <w:rsid w:val="360E65F9"/>
    <w:rsid w:val="40E1715D"/>
    <w:rsid w:val="419C0824"/>
    <w:rsid w:val="44244964"/>
    <w:rsid w:val="461300B7"/>
    <w:rsid w:val="520D6EC3"/>
    <w:rsid w:val="57404164"/>
    <w:rsid w:val="599940E5"/>
    <w:rsid w:val="5C3F1FC0"/>
    <w:rsid w:val="5C83014D"/>
    <w:rsid w:val="5CC94CFB"/>
    <w:rsid w:val="5E145AF2"/>
    <w:rsid w:val="5F372BCB"/>
    <w:rsid w:val="5F412942"/>
    <w:rsid w:val="60785E58"/>
    <w:rsid w:val="678437B5"/>
    <w:rsid w:val="693919DF"/>
    <w:rsid w:val="69E33028"/>
    <w:rsid w:val="70C1078D"/>
    <w:rsid w:val="7451111C"/>
    <w:rsid w:val="75D26FF0"/>
    <w:rsid w:val="775A30EF"/>
    <w:rsid w:val="7D952807"/>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qFormat/>
    <w:uiPriority w:val="0"/>
    <w:rPr>
      <w:i/>
    </w:rPr>
  </w:style>
  <w:style w:type="character" w:customStyle="1" w:styleId="8">
    <w:name w:val="页眉 字符"/>
    <w:basedOn w:val="6"/>
    <w:link w:val="3"/>
    <w:qFormat/>
    <w:uiPriority w:val="0"/>
    <w:rPr>
      <w:kern w:val="2"/>
      <w:sz w:val="18"/>
      <w:szCs w:val="18"/>
    </w:rPr>
  </w:style>
  <w:style w:type="character" w:customStyle="1" w:styleId="9">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666</Words>
  <Characters>778</Characters>
  <Lines>5</Lines>
  <Paragraphs>1</Paragraphs>
  <TotalTime>3</TotalTime>
  <ScaleCrop>false</ScaleCrop>
  <LinksUpToDate>false</LinksUpToDate>
  <CharactersWithSpaces>783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张娜</cp:lastModifiedBy>
  <dcterms:modified xsi:type="dcterms:W3CDTF">2024-10-30T06:44:37Z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2DEAA57F17E44F54B3B88DDE4BFD1D35_13</vt:lpwstr>
  </property>
</Properties>
</file>